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AC5" w:rsidP="00162AC5" w:rsidRDefault="00162AC5" w14:paraId="70F66FD5" w14:textId="77777777">
      <w:pPr>
        <w:pStyle w:val="Texto"/>
        <w:spacing w:before="0" w:after="0" w:line="240" w:lineRule="auto"/>
        <w:jc w:val="center"/>
        <w:rPr>
          <w:sz w:val="24"/>
        </w:rPr>
      </w:pPr>
    </w:p>
    <w:p w:rsidRPr="002E2B0A" w:rsidR="00181ABF" w:rsidP="00162AC5" w:rsidRDefault="00393C78" w14:paraId="19126B85" w14:textId="193F8872">
      <w:pPr>
        <w:pStyle w:val="Texto"/>
        <w:spacing w:before="0" w:after="0" w:line="240" w:lineRule="auto"/>
        <w:jc w:val="center"/>
        <w:rPr>
          <w:sz w:val="24"/>
        </w:rPr>
      </w:pPr>
      <w:r>
        <w:rPr>
          <w:sz w:val="24"/>
        </w:rPr>
        <w:t>21</w:t>
      </w:r>
      <w:r w:rsidRPr="002E2B0A" w:rsidR="00181ABF">
        <w:rPr>
          <w:sz w:val="24"/>
        </w:rPr>
        <w:t xml:space="preserve"> de </w:t>
      </w:r>
      <w:r w:rsidR="00133EF2">
        <w:rPr>
          <w:sz w:val="24"/>
        </w:rPr>
        <w:t>julio</w:t>
      </w:r>
      <w:r w:rsidRPr="002E2B0A" w:rsidR="00181ABF">
        <w:rPr>
          <w:sz w:val="24"/>
        </w:rPr>
        <w:t xml:space="preserve"> de </w:t>
      </w:r>
      <w:r w:rsidR="00133EF2">
        <w:rPr>
          <w:sz w:val="24"/>
        </w:rPr>
        <w:t>2023</w:t>
      </w:r>
    </w:p>
    <w:sdt>
      <w:sdtPr>
        <w:rPr>
          <w:sz w:val="24"/>
        </w:rPr>
        <w:alias w:val="Consecutivo"/>
        <w:tag w:val="Consecutivo"/>
        <w:id w:val="2052717023"/>
        <w:placeholder>
          <w:docPart w:val="DAD15CC6A9794DF7842AF67C5A2A2FD5"/>
        </w:placeholder>
        <w:text/>
      </w:sdtPr>
      <w:sdtEndPr/>
      <w:sdtContent>
        <w:p w:rsidR="00181ABF" w:rsidP="00162AC5" w:rsidRDefault="00181ABF" w14:paraId="72B38117" w14:textId="77777777">
          <w:pPr>
            <w:tabs>
              <w:tab w:val="left" w:pos="2843"/>
            </w:tabs>
            <w:spacing w:line="240" w:lineRule="auto"/>
            <w:jc w:val="center"/>
            <w:rPr>
              <w:sz w:val="24"/>
            </w:rPr>
          </w:pPr>
          <w:r>
            <w:t>SGF-1816-2023</w:t>
          </w:r>
        </w:p>
      </w:sdtContent>
    </w:sdt>
    <w:p w:rsidR="00181ABF" w:rsidP="00162AC5" w:rsidRDefault="00393C78" w14:paraId="6B6C3CE6" w14:textId="474D4F0B">
      <w:pPr>
        <w:tabs>
          <w:tab w:val="left" w:pos="2843"/>
        </w:tabs>
        <w:spacing w:line="240" w:lineRule="auto"/>
        <w:jc w:val="center"/>
        <w:rPr>
          <w:sz w:val="24"/>
        </w:rPr>
      </w:pPr>
      <w:sdt>
        <w:sdtPr>
          <w:rPr>
            <w:sz w:val="24"/>
          </w:rPr>
          <w:alias w:val="Confidencialidad"/>
          <w:tag w:val="Confidencialidad"/>
          <w:id w:val="1447896894"/>
          <w:placeholder>
            <w:docPart w:val="04BA266AAF154C598E8F056837B0F18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33EF2">
            <w:rPr>
              <w:sz w:val="24"/>
            </w:rPr>
            <w:t>SGF-PROPIETARIO</w:t>
          </w:r>
        </w:sdtContent>
      </w:sdt>
    </w:p>
    <w:p w:rsidR="00181ABF" w:rsidP="00181ABF" w:rsidRDefault="00181ABF" w14:paraId="326932F9" w14:textId="392D3C8F">
      <w:pPr>
        <w:tabs>
          <w:tab w:val="left" w:pos="2843"/>
        </w:tabs>
        <w:spacing w:line="240" w:lineRule="auto"/>
        <w:rPr>
          <w:sz w:val="24"/>
        </w:rPr>
      </w:pPr>
      <w:r w:rsidRPr="002E2B0A">
        <w:rPr>
          <w:sz w:val="24"/>
        </w:rPr>
        <w:tab/>
      </w:r>
    </w:p>
    <w:p w:rsidRPr="002E2B0A" w:rsidR="00162AC5" w:rsidP="00181ABF" w:rsidRDefault="00162AC5" w14:paraId="17790F4C" w14:textId="77777777">
      <w:pPr>
        <w:tabs>
          <w:tab w:val="left" w:pos="2843"/>
        </w:tabs>
        <w:spacing w:line="240" w:lineRule="auto"/>
        <w:rPr>
          <w:sz w:val="24"/>
        </w:rPr>
      </w:pPr>
    </w:p>
    <w:p w:rsidR="00133EF2" w:rsidP="00133EF2" w:rsidRDefault="00133EF2" w14:paraId="34D233F7" w14:textId="77777777">
      <w:pPr>
        <w:tabs>
          <w:tab w:val="left" w:pos="2843"/>
        </w:tabs>
        <w:spacing w:line="240" w:lineRule="auto"/>
        <w:rPr>
          <w:b/>
          <w:sz w:val="24"/>
          <w:lang w:val="es-CR"/>
        </w:rPr>
      </w:pPr>
      <w:r>
        <w:rPr>
          <w:b/>
          <w:sz w:val="24"/>
          <w:lang w:val="es-CR"/>
        </w:rPr>
        <w:t xml:space="preserve">Dirigida a: </w:t>
      </w:r>
    </w:p>
    <w:p w:rsidR="00133EF2" w:rsidP="00133EF2" w:rsidRDefault="00133EF2" w14:paraId="7F205D00" w14:textId="77777777">
      <w:pPr>
        <w:tabs>
          <w:tab w:val="left" w:pos="2843"/>
        </w:tabs>
        <w:spacing w:line="240" w:lineRule="auto"/>
        <w:rPr>
          <w:b/>
          <w:sz w:val="24"/>
          <w:lang w:val="es-CR"/>
        </w:rPr>
      </w:pPr>
    </w:p>
    <w:p w:rsidR="00133EF2" w:rsidP="00133EF2" w:rsidRDefault="00133EF2" w14:paraId="179CB3C7" w14:textId="77777777">
      <w:pPr>
        <w:widowControl w:val="0"/>
        <w:numPr>
          <w:ilvl w:val="0"/>
          <w:numId w:val="3"/>
        </w:numPr>
        <w:spacing w:line="240" w:lineRule="auto"/>
        <w:ind w:right="86"/>
        <w:contextualSpacing/>
        <w:rPr>
          <w:b/>
          <w:bCs/>
          <w:sz w:val="24"/>
          <w:lang w:val="es-CR" w:eastAsia="es-ES"/>
        </w:rPr>
      </w:pPr>
      <w:r>
        <w:rPr>
          <w:b/>
          <w:bCs/>
          <w:sz w:val="24"/>
          <w:lang w:val="es-CR" w:eastAsia="es-ES"/>
        </w:rPr>
        <w:t>Bancos públicos, privados y mutuales</w:t>
      </w:r>
    </w:p>
    <w:p w:rsidR="00133EF2" w:rsidP="00133EF2" w:rsidRDefault="00133EF2" w14:paraId="71A9869F" w14:textId="77777777">
      <w:pPr>
        <w:widowControl w:val="0"/>
        <w:numPr>
          <w:ilvl w:val="0"/>
          <w:numId w:val="3"/>
        </w:numPr>
        <w:spacing w:line="240" w:lineRule="auto"/>
        <w:ind w:right="86"/>
        <w:contextualSpacing/>
        <w:rPr>
          <w:b/>
          <w:bCs/>
          <w:sz w:val="24"/>
          <w:lang w:val="es-CR" w:eastAsia="es-ES"/>
        </w:rPr>
      </w:pPr>
      <w:r>
        <w:rPr>
          <w:b/>
          <w:bCs/>
          <w:sz w:val="24"/>
          <w:lang w:val="es-CR" w:eastAsia="es-ES"/>
        </w:rPr>
        <w:t>Banco Popular, BANHVI y Caja de Ahorro y Préstamos de la ANDE</w:t>
      </w:r>
    </w:p>
    <w:p w:rsidR="00133EF2" w:rsidP="00133EF2" w:rsidRDefault="00133EF2" w14:paraId="0F9E7DD9" w14:textId="77777777">
      <w:pPr>
        <w:widowControl w:val="0"/>
        <w:numPr>
          <w:ilvl w:val="0"/>
          <w:numId w:val="3"/>
        </w:numPr>
        <w:spacing w:line="240" w:lineRule="auto"/>
        <w:ind w:right="86"/>
        <w:contextualSpacing/>
        <w:rPr>
          <w:b/>
          <w:bCs/>
          <w:sz w:val="24"/>
          <w:lang w:val="es-CR" w:eastAsia="es-ES"/>
        </w:rPr>
      </w:pPr>
      <w:r>
        <w:rPr>
          <w:b/>
          <w:bCs/>
          <w:sz w:val="24"/>
          <w:lang w:val="es-CR" w:eastAsia="es-ES"/>
        </w:rPr>
        <w:t>Cooperativas y empresas financieras</w:t>
      </w:r>
    </w:p>
    <w:p w:rsidR="00133EF2" w:rsidP="00133EF2" w:rsidRDefault="00133EF2" w14:paraId="4E4E9984" w14:textId="77777777">
      <w:pPr>
        <w:widowControl w:val="0"/>
        <w:numPr>
          <w:ilvl w:val="0"/>
          <w:numId w:val="3"/>
        </w:numPr>
        <w:spacing w:line="240" w:lineRule="auto"/>
        <w:ind w:right="86"/>
        <w:contextualSpacing/>
        <w:rPr>
          <w:b/>
          <w:bCs/>
          <w:sz w:val="24"/>
          <w:lang w:val="es-CR" w:eastAsia="es-ES"/>
        </w:rPr>
      </w:pPr>
      <w:r>
        <w:rPr>
          <w:b/>
          <w:bCs/>
          <w:sz w:val="24"/>
          <w:lang w:val="es-CR" w:eastAsia="es-ES"/>
        </w:rPr>
        <w:t>Grupos y conglomerados financieros</w:t>
      </w:r>
    </w:p>
    <w:p w:rsidR="00133EF2" w:rsidP="00133EF2" w:rsidRDefault="00133EF2" w14:paraId="386432D2" w14:textId="77777777">
      <w:pPr>
        <w:widowControl w:val="0"/>
        <w:numPr>
          <w:ilvl w:val="0"/>
          <w:numId w:val="3"/>
        </w:numPr>
        <w:spacing w:line="240" w:lineRule="auto"/>
        <w:ind w:right="86"/>
        <w:contextualSpacing/>
        <w:rPr>
          <w:b/>
          <w:bCs/>
          <w:sz w:val="24"/>
          <w:lang w:val="es-CR" w:eastAsia="es-ES"/>
        </w:rPr>
      </w:pPr>
      <w:r>
        <w:rPr>
          <w:b/>
          <w:bCs/>
          <w:sz w:val="24"/>
          <w:lang w:val="es-CR" w:eastAsia="es-ES"/>
        </w:rPr>
        <w:t>Casas de Cambio</w:t>
      </w:r>
    </w:p>
    <w:p w:rsidR="00133EF2" w:rsidP="00133EF2" w:rsidRDefault="00133EF2" w14:paraId="76FE8245" w14:textId="649BA261">
      <w:pPr>
        <w:spacing w:line="240" w:lineRule="auto"/>
        <w:ind w:left="993" w:hanging="993"/>
        <w:rPr>
          <w:rFonts w:cs="Arial"/>
          <w:b/>
          <w:bCs/>
          <w:sz w:val="28"/>
          <w:szCs w:val="28"/>
          <w:lang w:val="es-CR"/>
        </w:rPr>
      </w:pPr>
    </w:p>
    <w:p w:rsidR="00133EF2" w:rsidP="00133EF2" w:rsidRDefault="00133EF2" w14:paraId="1CD8850F" w14:textId="509CCB14">
      <w:pPr>
        <w:spacing w:line="240" w:lineRule="auto"/>
        <w:ind w:left="993" w:hanging="993"/>
        <w:rPr>
          <w:rFonts w:cs="Arial"/>
          <w:b/>
          <w:bCs/>
          <w:sz w:val="24"/>
          <w:lang w:val="es-CR"/>
        </w:rPr>
      </w:pPr>
      <w:r>
        <w:rPr>
          <w:rFonts w:cs="Arial"/>
          <w:b/>
          <w:bCs/>
          <w:sz w:val="24"/>
          <w:lang w:val="es-CR"/>
        </w:rPr>
        <w:t>Asunto:</w:t>
      </w:r>
      <w:r>
        <w:rPr>
          <w:rFonts w:cs="Arial"/>
          <w:b/>
          <w:bCs/>
          <w:sz w:val="24"/>
          <w:lang w:val="es-CR"/>
        </w:rPr>
        <w:tab/>
        <w:t>Aclaración sobre el artículo 31 “Dependencia en terceros” del Reglamento para la prevención del riesgo de legitimación de capitales, financiamiento al terrorismo y financiamiento a la proliferación de armas de destrucción masiva aplicable a los sujetos obligados por el artículo 14 (Acuerdo CONASSIF 12-21)</w:t>
      </w:r>
    </w:p>
    <w:p w:rsidR="00133EF2" w:rsidP="00133EF2" w:rsidRDefault="00133EF2" w14:paraId="691AE04E" w14:textId="1A4C85D1">
      <w:pPr>
        <w:spacing w:line="240" w:lineRule="auto"/>
        <w:ind w:left="993" w:hanging="993"/>
        <w:rPr>
          <w:rFonts w:cs="Arial"/>
          <w:b/>
          <w:bCs/>
          <w:sz w:val="24"/>
          <w:lang w:val="es-CR"/>
        </w:rPr>
      </w:pPr>
    </w:p>
    <w:p w:rsidR="00162AC5" w:rsidP="00133EF2" w:rsidRDefault="00162AC5" w14:paraId="04B6670A" w14:textId="77777777">
      <w:pPr>
        <w:spacing w:line="240" w:lineRule="auto"/>
        <w:ind w:left="993" w:hanging="993"/>
        <w:rPr>
          <w:rFonts w:cs="Arial"/>
          <w:b/>
          <w:bCs/>
          <w:sz w:val="24"/>
          <w:lang w:val="es-CR"/>
        </w:rPr>
      </w:pPr>
    </w:p>
    <w:p w:rsidR="00133EF2" w:rsidP="00133EF2" w:rsidRDefault="00133EF2" w14:paraId="6EBAF9CC" w14:textId="099C3BC0">
      <w:pPr>
        <w:spacing w:line="240" w:lineRule="auto"/>
        <w:ind w:left="993" w:hanging="993"/>
        <w:rPr>
          <w:rFonts w:cs="Arial"/>
          <w:b/>
          <w:bCs/>
          <w:sz w:val="24"/>
          <w:lang w:val="es-CR"/>
        </w:rPr>
      </w:pPr>
      <w:r>
        <w:rPr>
          <w:rFonts w:cs="Arial"/>
          <w:b/>
          <w:bCs/>
          <w:sz w:val="24"/>
          <w:lang w:val="es-CR"/>
        </w:rPr>
        <w:t xml:space="preserve">El Intendente General de Entidades Financieras, </w:t>
      </w:r>
    </w:p>
    <w:p w:rsidR="00133EF2" w:rsidP="00133EF2" w:rsidRDefault="00133EF2" w14:paraId="49ACF9E9" w14:textId="0BFC2C3A">
      <w:pPr>
        <w:spacing w:line="240" w:lineRule="auto"/>
        <w:ind w:left="993" w:hanging="993"/>
        <w:rPr>
          <w:rFonts w:cs="Arial"/>
          <w:b/>
          <w:bCs/>
          <w:sz w:val="24"/>
          <w:lang w:val="es-CR"/>
        </w:rPr>
      </w:pPr>
    </w:p>
    <w:p w:rsidR="00133EF2" w:rsidP="00133EF2" w:rsidRDefault="00133EF2" w14:paraId="6439529C" w14:textId="2A27A4B2">
      <w:pPr>
        <w:spacing w:line="240" w:lineRule="auto"/>
        <w:ind w:left="993" w:hanging="993"/>
        <w:rPr>
          <w:rFonts w:cs="Arial"/>
          <w:b/>
          <w:bCs/>
          <w:sz w:val="24"/>
          <w:lang w:val="es-CR"/>
        </w:rPr>
      </w:pPr>
      <w:r>
        <w:rPr>
          <w:rFonts w:cs="Arial"/>
          <w:b/>
          <w:bCs/>
          <w:sz w:val="24"/>
          <w:lang w:val="es-CR"/>
        </w:rPr>
        <w:t>Considerando que:</w:t>
      </w:r>
    </w:p>
    <w:p w:rsidR="00133EF2" w:rsidP="00133EF2" w:rsidRDefault="00133EF2" w14:paraId="48856745" w14:textId="3C0AF572">
      <w:pPr>
        <w:spacing w:line="240" w:lineRule="auto"/>
        <w:ind w:left="993" w:hanging="993"/>
        <w:rPr>
          <w:rFonts w:cs="Arial"/>
          <w:b/>
          <w:bCs/>
          <w:sz w:val="24"/>
          <w:lang w:val="es-CR"/>
        </w:rPr>
      </w:pPr>
    </w:p>
    <w:p w:rsidR="004A05C1" w:rsidP="00133EF2" w:rsidRDefault="004A05C1" w14:paraId="0B76FA86" w14:textId="77777777">
      <w:pPr>
        <w:spacing w:line="240" w:lineRule="auto"/>
        <w:ind w:left="993" w:hanging="993"/>
        <w:rPr>
          <w:rFonts w:cs="Arial"/>
          <w:b/>
          <w:bCs/>
          <w:sz w:val="24"/>
          <w:lang w:val="es-CR"/>
        </w:rPr>
      </w:pPr>
    </w:p>
    <w:p w:rsidR="00585D38" w:rsidP="00585D38" w:rsidRDefault="00585D38" w14:paraId="0CD95894" w14:textId="079088DB">
      <w:pPr>
        <w:numPr>
          <w:ilvl w:val="0"/>
          <w:numId w:val="9"/>
        </w:numPr>
        <w:spacing w:line="240" w:lineRule="auto"/>
        <w:contextualSpacing/>
        <w:rPr>
          <w:i/>
          <w:iCs/>
          <w:szCs w:val="22"/>
          <w:lang w:eastAsia="es-ES"/>
        </w:rPr>
      </w:pPr>
      <w:r>
        <w:rPr>
          <w:sz w:val="24"/>
        </w:rPr>
        <w:t xml:space="preserve">El Consejo Nacional de Supervisión del Sistema Financiero, en los artículos 7, del acta de la sesión 1637-2021 y 6 del acta de la sesión 1638-2021, celebradas el 18 de enero de 2021, resolvió aprobar en firme el </w:t>
      </w:r>
      <w:r>
        <w:rPr>
          <w:i/>
          <w:iCs/>
          <w:szCs w:val="22"/>
        </w:rPr>
        <w:t>Reglamento para la prevención del riesgo de legitimación de capitales, financiamiento al terrorismo y financiamiento de la proliferación de armas de destrucción masiva, aplicable a los sujetos obligados por el artículo 14 de la Ley 7786 (en adelante Reglamento de prevención del riesgo de LC/FT/FPADM)</w:t>
      </w:r>
    </w:p>
    <w:p w:rsidR="00585D38" w:rsidP="00585D38" w:rsidRDefault="00585D38" w14:paraId="0927D9C5" w14:textId="77777777">
      <w:pPr>
        <w:spacing w:line="240" w:lineRule="auto"/>
        <w:rPr>
          <w:i/>
          <w:sz w:val="24"/>
          <w:lang w:eastAsia="es-ES"/>
        </w:rPr>
      </w:pPr>
    </w:p>
    <w:p w:rsidR="00585D38" w:rsidP="00585D38" w:rsidRDefault="00585D38" w14:paraId="58DA104A" w14:textId="3F41BE94">
      <w:pPr>
        <w:numPr>
          <w:ilvl w:val="0"/>
          <w:numId w:val="9"/>
        </w:numPr>
        <w:spacing w:line="240" w:lineRule="auto"/>
        <w:contextualSpacing/>
        <w:rPr>
          <w:sz w:val="24"/>
        </w:rPr>
      </w:pPr>
      <w:r>
        <w:rPr>
          <w:sz w:val="24"/>
        </w:rPr>
        <w:t>El Reglamento de prevención del riesgo de LC/FT/FPADM fue publicado en el alcance Nº17 a la Gaceta Nº19 del 28 de enero de 2021.</w:t>
      </w:r>
    </w:p>
    <w:p w:rsidR="00585D38" w:rsidP="00585D38" w:rsidRDefault="00585D38" w14:paraId="40AFC9CA" w14:textId="77777777">
      <w:pPr>
        <w:spacing w:line="240" w:lineRule="auto"/>
        <w:rPr>
          <w:sz w:val="24"/>
        </w:rPr>
      </w:pPr>
    </w:p>
    <w:p w:rsidR="00585D38" w:rsidP="00585D38" w:rsidRDefault="00585D38" w14:paraId="32DD1B3B" w14:textId="44FE62D1">
      <w:pPr>
        <w:numPr>
          <w:ilvl w:val="0"/>
          <w:numId w:val="9"/>
        </w:numPr>
        <w:spacing w:line="240" w:lineRule="auto"/>
        <w:contextualSpacing/>
        <w:rPr>
          <w:sz w:val="24"/>
        </w:rPr>
      </w:pPr>
      <w:r>
        <w:rPr>
          <w:sz w:val="24"/>
        </w:rPr>
        <w:t xml:space="preserve">La disposición “Vigencia” para el Reglamento de prevención del riesgo de LC/FT/FPADM establece que el reglamento entraba en vigor el 1º de enero de 2022. </w:t>
      </w:r>
    </w:p>
    <w:p w:rsidR="00D14DD1" w:rsidP="00D14DD1" w:rsidRDefault="00D14DD1" w14:paraId="1EA47949" w14:textId="77777777">
      <w:pPr>
        <w:pStyle w:val="Prrafodelista"/>
        <w:rPr>
          <w:sz w:val="24"/>
        </w:rPr>
      </w:pPr>
    </w:p>
    <w:p w:rsidR="00585D38" w:rsidP="00585D38" w:rsidRDefault="00585D38" w14:paraId="5343D3C0" w14:textId="1E72A966">
      <w:pPr>
        <w:numPr>
          <w:ilvl w:val="0"/>
          <w:numId w:val="9"/>
        </w:numPr>
        <w:spacing w:line="240" w:lineRule="auto"/>
        <w:contextualSpacing/>
        <w:rPr>
          <w:sz w:val="24"/>
        </w:rPr>
      </w:pPr>
      <w:r>
        <w:rPr>
          <w:sz w:val="24"/>
        </w:rPr>
        <w:t xml:space="preserve">Dentro de los aspectos </w:t>
      </w:r>
      <w:r w:rsidR="00162AC5">
        <w:rPr>
          <w:sz w:val="24"/>
        </w:rPr>
        <w:t xml:space="preserve">fundamentales </w:t>
      </w:r>
      <w:r>
        <w:rPr>
          <w:sz w:val="24"/>
        </w:rPr>
        <w:t xml:space="preserve">contemplados en </w:t>
      </w:r>
      <w:r w:rsidR="00162AC5">
        <w:rPr>
          <w:sz w:val="24"/>
        </w:rPr>
        <w:t xml:space="preserve">el </w:t>
      </w:r>
      <w:r>
        <w:rPr>
          <w:sz w:val="24"/>
        </w:rPr>
        <w:t>Reglamento de prevención del riesgo de LC/FT/FPADM</w:t>
      </w:r>
      <w:r w:rsidR="00162AC5">
        <w:rPr>
          <w:sz w:val="24"/>
        </w:rPr>
        <w:t>,</w:t>
      </w:r>
      <w:r>
        <w:rPr>
          <w:sz w:val="24"/>
        </w:rPr>
        <w:t xml:space="preserve"> </w:t>
      </w:r>
      <w:r w:rsidR="00162AC5">
        <w:rPr>
          <w:sz w:val="24"/>
        </w:rPr>
        <w:t>se encuentra</w:t>
      </w:r>
      <w:r>
        <w:rPr>
          <w:sz w:val="24"/>
        </w:rPr>
        <w:t xml:space="preserve"> el cumplimiento de </w:t>
      </w:r>
      <w:r w:rsidR="00162AC5">
        <w:rPr>
          <w:sz w:val="24"/>
        </w:rPr>
        <w:t>los estándares</w:t>
      </w:r>
      <w:r>
        <w:rPr>
          <w:sz w:val="24"/>
        </w:rPr>
        <w:t xml:space="preserve"> del Grupo de Acción Financiera </w:t>
      </w:r>
      <w:r w:rsidR="00162AC5">
        <w:rPr>
          <w:sz w:val="24"/>
        </w:rPr>
        <w:t xml:space="preserve">Internacional </w:t>
      </w:r>
      <w:r w:rsidR="00D14DD1">
        <w:rPr>
          <w:sz w:val="24"/>
        </w:rPr>
        <w:t>(</w:t>
      </w:r>
      <w:r>
        <w:rPr>
          <w:sz w:val="24"/>
        </w:rPr>
        <w:t>GAFI</w:t>
      </w:r>
      <w:r w:rsidR="00D14DD1">
        <w:rPr>
          <w:sz w:val="24"/>
        </w:rPr>
        <w:t>)</w:t>
      </w:r>
      <w:r>
        <w:rPr>
          <w:sz w:val="24"/>
        </w:rPr>
        <w:t xml:space="preserve">. </w:t>
      </w:r>
    </w:p>
    <w:p w:rsidR="00585D38" w:rsidP="00585D38" w:rsidRDefault="00585D38" w14:paraId="6D4E84E0" w14:textId="484FF0A0">
      <w:pPr>
        <w:pStyle w:val="Prrafodelista"/>
        <w:rPr>
          <w:sz w:val="24"/>
        </w:rPr>
      </w:pPr>
    </w:p>
    <w:p w:rsidR="00162AC5" w:rsidP="00585D38" w:rsidRDefault="00162AC5" w14:paraId="3DCF0DB5" w14:textId="721569BC">
      <w:pPr>
        <w:pStyle w:val="Prrafodelista"/>
        <w:rPr>
          <w:sz w:val="24"/>
        </w:rPr>
      </w:pPr>
    </w:p>
    <w:p w:rsidR="00AC66F1" w:rsidP="00585D38" w:rsidRDefault="00AC66F1" w14:paraId="3A864B95" w14:textId="77777777">
      <w:pPr>
        <w:pStyle w:val="Prrafodelista"/>
        <w:rPr>
          <w:sz w:val="24"/>
        </w:rPr>
      </w:pPr>
    </w:p>
    <w:p w:rsidR="00162AC5" w:rsidP="00B1515D" w:rsidRDefault="00585D38" w14:paraId="7C1AA423" w14:textId="47BF6A77">
      <w:pPr>
        <w:numPr>
          <w:ilvl w:val="0"/>
          <w:numId w:val="9"/>
        </w:numPr>
        <w:spacing w:line="240" w:lineRule="auto"/>
        <w:contextualSpacing/>
        <w:rPr>
          <w:sz w:val="24"/>
        </w:rPr>
      </w:pPr>
      <w:r w:rsidRPr="00B1515D">
        <w:rPr>
          <w:sz w:val="24"/>
        </w:rPr>
        <w:t xml:space="preserve">El Reglamento de prevención del riesgo de LC/FT/FPADM, dispuso regular la recomendación 17 </w:t>
      </w:r>
      <w:r w:rsidRPr="00B1515D">
        <w:rPr>
          <w:i/>
          <w:iCs/>
          <w:sz w:val="24"/>
        </w:rPr>
        <w:t>“Dependencia en terceros”</w:t>
      </w:r>
      <w:r w:rsidRPr="00B1515D">
        <w:rPr>
          <w:sz w:val="24"/>
        </w:rPr>
        <w:t xml:space="preserve"> del GAFI</w:t>
      </w:r>
      <w:r w:rsidRPr="00B1515D" w:rsidR="00B1515D">
        <w:rPr>
          <w:sz w:val="24"/>
        </w:rPr>
        <w:t>, mediante el artículo 31 “Dependencia en terceros” del Acuerdo CONASSIF 12-21 que establece</w:t>
      </w:r>
      <w:r w:rsidR="00B1515D">
        <w:rPr>
          <w:sz w:val="24"/>
        </w:rPr>
        <w:t xml:space="preserve"> lo siguiente</w:t>
      </w:r>
      <w:r w:rsidR="00162AC5">
        <w:rPr>
          <w:sz w:val="24"/>
        </w:rPr>
        <w:t xml:space="preserve">: </w:t>
      </w:r>
    </w:p>
    <w:p w:rsidR="00162AC5" w:rsidP="00162AC5" w:rsidRDefault="00162AC5" w14:paraId="3DB5E87D" w14:textId="77777777">
      <w:pPr>
        <w:pStyle w:val="Prrafodelista"/>
        <w:rPr>
          <w:sz w:val="24"/>
        </w:rPr>
      </w:pPr>
    </w:p>
    <w:p w:rsidR="00B1515D" w:rsidP="00162AC5" w:rsidRDefault="00B1515D" w14:paraId="73DF1A6B" w14:textId="1F7EC20D">
      <w:pPr>
        <w:spacing w:line="240" w:lineRule="auto"/>
        <w:ind w:left="360"/>
        <w:contextualSpacing/>
        <w:rPr>
          <w:sz w:val="24"/>
        </w:rPr>
      </w:pPr>
      <w:r w:rsidRPr="00B1515D">
        <w:rPr>
          <w:i/>
          <w:iCs/>
          <w:szCs w:val="22"/>
        </w:rPr>
        <w:t xml:space="preserve">“(…) La dependencia en terceros es la posibilidad de delegar los procesos de identificación del cliente y del beneficiario final y la comprensión de la naturaleza de la actividad comercial de los clientes en un tercero supervisado, con base en las políticas y procedimientos de ese tercero. </w:t>
      </w:r>
      <w:r>
        <w:rPr>
          <w:sz w:val="24"/>
        </w:rPr>
        <w:t xml:space="preserve"> </w:t>
      </w:r>
      <w:r w:rsidRPr="00B1515D">
        <w:rPr>
          <w:i/>
          <w:iCs/>
          <w:szCs w:val="22"/>
        </w:rPr>
        <w:t xml:space="preserve">Para los sujetos obligados del sistema financiero nacional, </w:t>
      </w:r>
      <w:r w:rsidRPr="00B1515D">
        <w:rPr>
          <w:b/>
          <w:bCs/>
          <w:i/>
          <w:iCs/>
          <w:szCs w:val="22"/>
          <w:u w:val="single"/>
        </w:rPr>
        <w:t xml:space="preserve">no es aceptable la dependencia en terceros. </w:t>
      </w:r>
      <w:r>
        <w:rPr>
          <w:sz w:val="24"/>
        </w:rPr>
        <w:t xml:space="preserve"> </w:t>
      </w:r>
    </w:p>
    <w:p w:rsidR="00655A36" w:rsidP="00B1515D" w:rsidRDefault="00655A36" w14:paraId="15AD0B1B" w14:textId="77777777">
      <w:pPr>
        <w:spacing w:line="240" w:lineRule="auto"/>
        <w:ind w:left="360"/>
        <w:contextualSpacing/>
        <w:rPr>
          <w:i/>
          <w:iCs/>
          <w:szCs w:val="22"/>
        </w:rPr>
      </w:pPr>
    </w:p>
    <w:p w:rsidRPr="00B1515D" w:rsidR="00B1515D" w:rsidP="00B1515D" w:rsidRDefault="00B1515D" w14:paraId="7789BBAA" w14:textId="0A2DAF5C">
      <w:pPr>
        <w:spacing w:line="240" w:lineRule="auto"/>
        <w:ind w:left="360"/>
        <w:contextualSpacing/>
        <w:rPr>
          <w:sz w:val="24"/>
        </w:rPr>
      </w:pPr>
      <w:r w:rsidRPr="00B1515D">
        <w:rPr>
          <w:i/>
          <w:iCs/>
          <w:szCs w:val="22"/>
        </w:rPr>
        <w:t xml:space="preserve">En consecuencia, </w:t>
      </w:r>
      <w:r w:rsidRPr="00B1515D">
        <w:rPr>
          <w:b/>
          <w:bCs/>
          <w:i/>
          <w:iCs/>
          <w:szCs w:val="22"/>
          <w:u w:val="single"/>
        </w:rPr>
        <w:t>los sujetos obligados son los responsables únicos y directos de establecer y aplicar sus políticas y procedimientos de debida diligencia en el conocimiento del cliente y el origen de los fondos; esta responsabilidad es indelegable en un tercero, excepto cuando ese tercero se trate de una entidad supervisada que pertenezca a un mismo grupo o conglomerado financiero costarricense.</w:t>
      </w:r>
      <w:r w:rsidRPr="00162AC5">
        <w:rPr>
          <w:i/>
          <w:iCs/>
          <w:szCs w:val="22"/>
          <w:u w:val="single"/>
        </w:rPr>
        <w:t xml:space="preserve"> </w:t>
      </w:r>
      <w:r w:rsidRPr="00B1515D">
        <w:rPr>
          <w:szCs w:val="22"/>
        </w:rPr>
        <w:t>(el resaltado no es del original.</w:t>
      </w:r>
      <w:r w:rsidR="00162AC5">
        <w:rPr>
          <w:szCs w:val="22"/>
        </w:rPr>
        <w:t>)</w:t>
      </w:r>
    </w:p>
    <w:p w:rsidR="00B1515D" w:rsidP="00B1515D" w:rsidRDefault="00B1515D" w14:paraId="5003048E" w14:textId="77777777">
      <w:pPr>
        <w:spacing w:line="240" w:lineRule="auto"/>
        <w:ind w:left="360"/>
        <w:contextualSpacing/>
        <w:rPr>
          <w:sz w:val="24"/>
        </w:rPr>
      </w:pPr>
    </w:p>
    <w:p w:rsidR="00585D38" w:rsidP="00585D38" w:rsidRDefault="00585D38" w14:paraId="50AFF1C0" w14:textId="2B65A6FE">
      <w:pPr>
        <w:numPr>
          <w:ilvl w:val="0"/>
          <w:numId w:val="9"/>
        </w:numPr>
        <w:spacing w:line="240" w:lineRule="auto"/>
        <w:contextualSpacing/>
        <w:rPr>
          <w:sz w:val="24"/>
        </w:rPr>
      </w:pPr>
      <w:r>
        <w:rPr>
          <w:sz w:val="24"/>
        </w:rPr>
        <w:t>La recomendación 17 “Dependencia en terceros”, en su</w:t>
      </w:r>
      <w:r w:rsidR="004A05C1">
        <w:rPr>
          <w:sz w:val="24"/>
        </w:rPr>
        <w:t>s</w:t>
      </w:r>
      <w:r>
        <w:rPr>
          <w:sz w:val="24"/>
        </w:rPr>
        <w:t xml:space="preserve"> criterio</w:t>
      </w:r>
      <w:r w:rsidR="004A05C1">
        <w:rPr>
          <w:sz w:val="24"/>
        </w:rPr>
        <w:t>s 17.2 y</w:t>
      </w:r>
      <w:r>
        <w:rPr>
          <w:sz w:val="24"/>
        </w:rPr>
        <w:t xml:space="preserve"> 17.3, establece que: </w:t>
      </w:r>
    </w:p>
    <w:p w:rsidR="004A05C1" w:rsidP="00D14DD1" w:rsidRDefault="004A05C1" w14:paraId="038AC50C" w14:textId="75C4321E">
      <w:pPr>
        <w:pStyle w:val="Default"/>
        <w:ind w:left="360"/>
        <w:jc w:val="both"/>
        <w:rPr>
          <w:rFonts w:ascii="Cambria" w:hAnsi="Cambria" w:eastAsia="Times New Roman" w:cs="Times New Roman"/>
          <w:i/>
          <w:iCs/>
          <w:color w:val="auto"/>
          <w:sz w:val="22"/>
          <w:szCs w:val="22"/>
          <w:lang w:val="es-ES"/>
        </w:rPr>
      </w:pPr>
    </w:p>
    <w:p w:rsidRPr="004A05C1" w:rsidR="004A05C1" w:rsidP="00D14DD1" w:rsidRDefault="004A05C1" w14:paraId="02C38C8F" w14:textId="13FC8B6C">
      <w:pPr>
        <w:pStyle w:val="Default"/>
        <w:ind w:left="360"/>
        <w:jc w:val="both"/>
        <w:rPr>
          <w:rFonts w:ascii="Cambria" w:hAnsi="Cambria" w:eastAsia="Times New Roman" w:cs="Times New Roman"/>
          <w:i/>
          <w:iCs/>
          <w:color w:val="auto"/>
          <w:sz w:val="22"/>
          <w:szCs w:val="22"/>
          <w:lang w:val="es-ES"/>
        </w:rPr>
      </w:pPr>
      <w:r>
        <w:rPr>
          <w:rFonts w:ascii="Cambria" w:hAnsi="Cambria" w:eastAsia="Times New Roman" w:cs="Times New Roman"/>
          <w:i/>
          <w:iCs/>
          <w:color w:val="auto"/>
          <w:sz w:val="22"/>
          <w:szCs w:val="22"/>
          <w:lang w:val="es-ES"/>
        </w:rPr>
        <w:t>“</w:t>
      </w:r>
      <w:r w:rsidRPr="004A05C1">
        <w:rPr>
          <w:rFonts w:ascii="Cambria" w:hAnsi="Cambria" w:eastAsia="Times New Roman" w:cs="Times New Roman"/>
          <w:i/>
          <w:iCs/>
          <w:color w:val="auto"/>
          <w:sz w:val="22"/>
          <w:szCs w:val="22"/>
          <w:lang w:val="es-ES"/>
        </w:rPr>
        <w:t>17.2 Al determinar en qué países puede residir el tercero que cumple con las condiciones, los países deben tomar en cuenta la información disponible sobre el nivel de riesgo de ese país.</w:t>
      </w:r>
      <w:r>
        <w:rPr>
          <w:rFonts w:ascii="Cambria" w:hAnsi="Cambria" w:eastAsia="Times New Roman" w:cs="Times New Roman"/>
          <w:i/>
          <w:iCs/>
          <w:color w:val="auto"/>
          <w:sz w:val="22"/>
          <w:szCs w:val="22"/>
          <w:lang w:val="es-ES"/>
        </w:rPr>
        <w:t>”</w:t>
      </w:r>
    </w:p>
    <w:p w:rsidR="004A05C1" w:rsidP="00D14DD1" w:rsidRDefault="004A05C1" w14:paraId="1A099629" w14:textId="77777777">
      <w:pPr>
        <w:pStyle w:val="Default"/>
        <w:ind w:left="360"/>
        <w:jc w:val="both"/>
        <w:rPr>
          <w:rFonts w:ascii="Cambria" w:hAnsi="Cambria" w:eastAsia="Times New Roman" w:cs="Times New Roman"/>
          <w:i/>
          <w:iCs/>
          <w:color w:val="auto"/>
          <w:sz w:val="22"/>
          <w:szCs w:val="22"/>
          <w:lang w:val="es-ES"/>
        </w:rPr>
      </w:pPr>
    </w:p>
    <w:p w:rsidR="004A05C1" w:rsidP="00D14DD1" w:rsidRDefault="00585D38" w14:paraId="76CCB948" w14:textId="760696C9">
      <w:pPr>
        <w:pStyle w:val="Default"/>
        <w:ind w:left="360"/>
        <w:jc w:val="both"/>
        <w:rPr>
          <w:rFonts w:ascii="Cambria" w:hAnsi="Cambria" w:eastAsia="Times New Roman" w:cs="Times New Roman"/>
          <w:i/>
          <w:iCs/>
          <w:color w:val="auto"/>
          <w:sz w:val="22"/>
          <w:szCs w:val="22"/>
          <w:lang w:val="es-ES"/>
        </w:rPr>
      </w:pPr>
      <w:r>
        <w:rPr>
          <w:rFonts w:ascii="Cambria" w:hAnsi="Cambria" w:eastAsia="Times New Roman" w:cs="Times New Roman"/>
          <w:i/>
          <w:iCs/>
          <w:color w:val="auto"/>
          <w:sz w:val="22"/>
          <w:szCs w:val="22"/>
          <w:lang w:val="es-ES"/>
        </w:rPr>
        <w:t>“</w:t>
      </w:r>
      <w:r w:rsidR="004A05C1">
        <w:rPr>
          <w:rFonts w:ascii="Cambria" w:hAnsi="Cambria" w:eastAsia="Times New Roman" w:cs="Times New Roman"/>
          <w:i/>
          <w:iCs/>
          <w:color w:val="auto"/>
          <w:sz w:val="22"/>
          <w:szCs w:val="22"/>
          <w:lang w:val="es-ES"/>
        </w:rPr>
        <w:t xml:space="preserve">17.3 </w:t>
      </w:r>
      <w:r w:rsidRPr="00585D38">
        <w:rPr>
          <w:rFonts w:ascii="Cambria" w:hAnsi="Cambria" w:eastAsia="Times New Roman" w:cs="Times New Roman"/>
          <w:i/>
          <w:iCs/>
          <w:color w:val="auto"/>
          <w:sz w:val="22"/>
          <w:szCs w:val="22"/>
          <w:lang w:val="es-ES"/>
        </w:rPr>
        <w:t xml:space="preserve">En el caso de las instituciones financieras que delegan en terceros que son parte del mismo grupo financiero, </w:t>
      </w:r>
      <w:r w:rsidRPr="00162AC5">
        <w:rPr>
          <w:rFonts w:ascii="Cambria" w:hAnsi="Cambria" w:eastAsia="Times New Roman" w:cs="Times New Roman"/>
          <w:i/>
          <w:iCs/>
          <w:color w:val="auto"/>
          <w:sz w:val="22"/>
          <w:szCs w:val="22"/>
          <w:lang w:val="es-ES"/>
        </w:rPr>
        <w:t>las autoridades competentes pertinentes</w:t>
      </w:r>
      <w:r w:rsidRPr="00585D38">
        <w:rPr>
          <w:rFonts w:ascii="Cambria" w:hAnsi="Cambria" w:eastAsia="Times New Roman" w:cs="Times New Roman"/>
          <w:i/>
          <w:iCs/>
          <w:color w:val="auto"/>
          <w:sz w:val="22"/>
          <w:szCs w:val="22"/>
          <w:lang w:val="es-ES"/>
        </w:rPr>
        <w:t xml:space="preserve"> también pueden considerar que los requisitos de los criterios mencionados más arriba se cumplen en las siguientes circunstancias: </w:t>
      </w:r>
    </w:p>
    <w:p w:rsidR="004A05C1" w:rsidP="00D14DD1" w:rsidRDefault="004A05C1" w14:paraId="6C1BC908" w14:textId="77777777">
      <w:pPr>
        <w:pStyle w:val="Default"/>
        <w:ind w:left="360"/>
        <w:jc w:val="both"/>
        <w:rPr>
          <w:rFonts w:ascii="Cambria" w:hAnsi="Cambria" w:eastAsia="Times New Roman" w:cs="Times New Roman"/>
          <w:i/>
          <w:iCs/>
          <w:color w:val="auto"/>
          <w:sz w:val="22"/>
          <w:szCs w:val="22"/>
          <w:lang w:val="es-ES"/>
        </w:rPr>
      </w:pPr>
    </w:p>
    <w:p w:rsidR="004A05C1" w:rsidP="00D14DD1" w:rsidRDefault="00585D38" w14:paraId="625E3167" w14:textId="77777777">
      <w:pPr>
        <w:pStyle w:val="Default"/>
        <w:ind w:left="360"/>
        <w:jc w:val="both"/>
        <w:rPr>
          <w:rFonts w:ascii="Cambria" w:hAnsi="Cambria" w:eastAsia="Times New Roman" w:cs="Times New Roman"/>
          <w:i/>
          <w:iCs/>
          <w:color w:val="auto"/>
          <w:sz w:val="22"/>
          <w:szCs w:val="22"/>
          <w:lang w:val="es-ES"/>
        </w:rPr>
      </w:pPr>
      <w:r w:rsidRPr="00585D38">
        <w:rPr>
          <w:rFonts w:ascii="Cambria" w:hAnsi="Cambria" w:eastAsia="Times New Roman" w:cs="Times New Roman"/>
          <w:i/>
          <w:iCs/>
          <w:color w:val="auto"/>
          <w:sz w:val="22"/>
          <w:szCs w:val="22"/>
          <w:lang w:val="es-ES"/>
        </w:rPr>
        <w:t xml:space="preserve">(a) el grupo aplica los requisitos de DDC y mantenimiento de registros, de acuerdo con las Recomendaciones 10 a 12, y los programas antilavado de activos y contra el financiamiento del terrorismo, de acuerdo con la Recomendación 18; </w:t>
      </w:r>
    </w:p>
    <w:p w:rsidR="004A05C1" w:rsidP="00D14DD1" w:rsidRDefault="004A05C1" w14:paraId="0073AFA7" w14:textId="77777777">
      <w:pPr>
        <w:pStyle w:val="Default"/>
        <w:ind w:left="360"/>
        <w:jc w:val="both"/>
        <w:rPr>
          <w:rFonts w:ascii="Cambria" w:hAnsi="Cambria" w:eastAsia="Times New Roman" w:cs="Times New Roman"/>
          <w:i/>
          <w:iCs/>
          <w:color w:val="auto"/>
          <w:sz w:val="22"/>
          <w:szCs w:val="22"/>
          <w:lang w:val="es-ES"/>
        </w:rPr>
      </w:pPr>
    </w:p>
    <w:p w:rsidR="004A05C1" w:rsidP="00D14DD1" w:rsidRDefault="00585D38" w14:paraId="67757E93" w14:textId="77777777">
      <w:pPr>
        <w:pStyle w:val="Default"/>
        <w:ind w:left="360"/>
        <w:jc w:val="both"/>
        <w:rPr>
          <w:rFonts w:ascii="Cambria" w:hAnsi="Cambria" w:eastAsia="Times New Roman" w:cs="Times New Roman"/>
          <w:i/>
          <w:iCs/>
          <w:color w:val="auto"/>
          <w:sz w:val="22"/>
          <w:szCs w:val="22"/>
          <w:lang w:val="es-ES"/>
        </w:rPr>
      </w:pPr>
      <w:r w:rsidRPr="00585D38">
        <w:rPr>
          <w:rFonts w:ascii="Cambria" w:hAnsi="Cambria" w:eastAsia="Times New Roman" w:cs="Times New Roman"/>
          <w:i/>
          <w:iCs/>
          <w:color w:val="auto"/>
          <w:sz w:val="22"/>
          <w:szCs w:val="22"/>
          <w:lang w:val="es-ES"/>
        </w:rPr>
        <w:t xml:space="preserve">(b) la implementación de esos requisitos de DDC y mantenimiento de registros, así como de los programas ALA/CFT, </w:t>
      </w:r>
      <w:r w:rsidRPr="00162AC5">
        <w:rPr>
          <w:rFonts w:ascii="Cambria" w:hAnsi="Cambria" w:eastAsia="Times New Roman" w:cs="Times New Roman"/>
          <w:i/>
          <w:iCs/>
          <w:color w:val="auto"/>
          <w:sz w:val="22"/>
          <w:szCs w:val="22"/>
          <w:lang w:val="es-ES"/>
        </w:rPr>
        <w:t>es supervisada a nivel del grupo por una autoridad competente;</w:t>
      </w:r>
      <w:r w:rsidRPr="00585D38">
        <w:rPr>
          <w:rFonts w:ascii="Cambria" w:hAnsi="Cambria" w:eastAsia="Times New Roman" w:cs="Times New Roman"/>
          <w:i/>
          <w:iCs/>
          <w:color w:val="auto"/>
          <w:sz w:val="22"/>
          <w:szCs w:val="22"/>
          <w:lang w:val="es-ES"/>
        </w:rPr>
        <w:t xml:space="preserve"> y</w:t>
      </w:r>
      <w:r>
        <w:rPr>
          <w:rFonts w:ascii="Cambria" w:hAnsi="Cambria" w:eastAsia="Times New Roman" w:cs="Times New Roman"/>
          <w:i/>
          <w:iCs/>
          <w:color w:val="auto"/>
          <w:sz w:val="22"/>
          <w:szCs w:val="22"/>
          <w:lang w:val="es-ES"/>
        </w:rPr>
        <w:t xml:space="preserve"> </w:t>
      </w:r>
    </w:p>
    <w:p w:rsidR="004A05C1" w:rsidP="00D14DD1" w:rsidRDefault="004A05C1" w14:paraId="23AC5650" w14:textId="77777777">
      <w:pPr>
        <w:pStyle w:val="Default"/>
        <w:ind w:left="360"/>
        <w:jc w:val="both"/>
        <w:rPr>
          <w:rFonts w:ascii="Cambria" w:hAnsi="Cambria" w:eastAsia="Times New Roman" w:cs="Times New Roman"/>
          <w:i/>
          <w:iCs/>
          <w:color w:val="auto"/>
          <w:sz w:val="22"/>
          <w:szCs w:val="22"/>
          <w:lang w:val="es-ES"/>
        </w:rPr>
      </w:pPr>
    </w:p>
    <w:p w:rsidRPr="004A05C1" w:rsidR="00133EF2" w:rsidP="00D14DD1" w:rsidRDefault="00585D38" w14:paraId="18ADE716" w14:textId="7B883A12">
      <w:pPr>
        <w:pStyle w:val="Default"/>
        <w:ind w:left="360"/>
        <w:jc w:val="both"/>
        <w:rPr>
          <w:rFonts w:ascii="Cambria" w:hAnsi="Cambria" w:eastAsia="Times New Roman" w:cs="Times New Roman"/>
          <w:i/>
          <w:iCs/>
          <w:color w:val="auto"/>
          <w:sz w:val="22"/>
          <w:szCs w:val="22"/>
          <w:lang w:val="es-ES"/>
        </w:rPr>
      </w:pPr>
      <w:r>
        <w:rPr>
          <w:rFonts w:ascii="Cambria" w:hAnsi="Cambria" w:eastAsia="Times New Roman" w:cs="Times New Roman"/>
          <w:i/>
          <w:iCs/>
          <w:color w:val="auto"/>
          <w:sz w:val="22"/>
          <w:szCs w:val="22"/>
          <w:lang w:val="es-ES"/>
        </w:rPr>
        <w:t>(</w:t>
      </w:r>
      <w:r w:rsidR="004A05C1">
        <w:rPr>
          <w:rFonts w:ascii="Cambria" w:hAnsi="Cambria" w:eastAsia="Times New Roman" w:cs="Times New Roman"/>
          <w:i/>
          <w:iCs/>
          <w:color w:val="auto"/>
          <w:sz w:val="22"/>
          <w:szCs w:val="22"/>
          <w:lang w:val="es-ES"/>
        </w:rPr>
        <w:t>c</w:t>
      </w:r>
      <w:r>
        <w:rPr>
          <w:rFonts w:ascii="Cambria" w:hAnsi="Cambria" w:eastAsia="Times New Roman" w:cs="Times New Roman"/>
          <w:i/>
          <w:iCs/>
          <w:color w:val="auto"/>
          <w:sz w:val="22"/>
          <w:szCs w:val="22"/>
          <w:lang w:val="es-ES"/>
        </w:rPr>
        <w:t>)</w:t>
      </w:r>
      <w:r w:rsidR="004A05C1">
        <w:rPr>
          <w:rFonts w:ascii="Cambria" w:hAnsi="Cambria" w:eastAsia="Times New Roman" w:cs="Times New Roman"/>
          <w:i/>
          <w:iCs/>
          <w:color w:val="auto"/>
          <w:sz w:val="22"/>
          <w:szCs w:val="22"/>
          <w:lang w:val="es-ES"/>
        </w:rPr>
        <w:t xml:space="preserve"> </w:t>
      </w:r>
      <w:r w:rsidRPr="004A05C1" w:rsidR="004A05C1">
        <w:rPr>
          <w:rFonts w:ascii="Cambria" w:hAnsi="Cambria" w:eastAsia="Times New Roman" w:cs="Times New Roman"/>
          <w:i/>
          <w:iCs/>
          <w:color w:val="auto"/>
          <w:sz w:val="22"/>
          <w:szCs w:val="22"/>
          <w:lang w:val="es-ES"/>
        </w:rPr>
        <w:t>todo riesgo mayor de un país se mitiga adecuadamente mediante políticas ALA/CFT del grupo.</w:t>
      </w:r>
      <w:r>
        <w:rPr>
          <w:rFonts w:ascii="Cambria" w:hAnsi="Cambria" w:eastAsia="Times New Roman" w:cs="Times New Roman"/>
          <w:i/>
          <w:iCs/>
          <w:color w:val="auto"/>
          <w:sz w:val="22"/>
          <w:szCs w:val="22"/>
          <w:lang w:val="es-ES"/>
        </w:rPr>
        <w:t>”</w:t>
      </w:r>
    </w:p>
    <w:p w:rsidR="00133EF2" w:rsidP="00181ABF" w:rsidRDefault="00133EF2" w14:paraId="4E0C0276" w14:textId="77777777">
      <w:pPr>
        <w:pStyle w:val="Texto"/>
        <w:spacing w:before="0" w:after="0" w:line="240" w:lineRule="auto"/>
        <w:rPr>
          <w:sz w:val="24"/>
          <w:lang w:val="es-CR"/>
        </w:rPr>
      </w:pPr>
    </w:p>
    <w:p w:rsidRPr="00B1515D" w:rsidR="00B1515D" w:rsidP="00B1515D" w:rsidRDefault="00B1515D" w14:paraId="2D4A0B4E" w14:textId="2F1DF621">
      <w:pPr>
        <w:pStyle w:val="Texto"/>
        <w:numPr>
          <w:ilvl w:val="0"/>
          <w:numId w:val="9"/>
        </w:numPr>
        <w:spacing w:before="0" w:after="0" w:line="240" w:lineRule="auto"/>
        <w:rPr>
          <w:sz w:val="24"/>
          <w:lang w:val="es-CR"/>
        </w:rPr>
      </w:pPr>
      <w:r>
        <w:rPr>
          <w:sz w:val="24"/>
          <w:lang w:val="es-CR"/>
        </w:rPr>
        <w:t>Existe la posibilidad de que los grupos o conglomerados financieros costarricenses inscritos ante la SUGEF</w:t>
      </w:r>
      <w:r w:rsidR="007F334C">
        <w:rPr>
          <w:sz w:val="24"/>
          <w:lang w:val="es-CR"/>
        </w:rPr>
        <w:t>,</w:t>
      </w:r>
      <w:r>
        <w:rPr>
          <w:sz w:val="24"/>
          <w:lang w:val="es-CR"/>
        </w:rPr>
        <w:t xml:space="preserve"> integren entidades financieras domiciliadas en el extranjero. </w:t>
      </w:r>
    </w:p>
    <w:p w:rsidR="00133EF2" w:rsidP="00181ABF" w:rsidRDefault="00133EF2" w14:paraId="78020CBF" w14:textId="4B4D9B97">
      <w:pPr>
        <w:pStyle w:val="Texto"/>
        <w:spacing w:before="0" w:after="0" w:line="240" w:lineRule="auto"/>
        <w:rPr>
          <w:sz w:val="24"/>
          <w:lang w:val="es-CR"/>
        </w:rPr>
      </w:pPr>
    </w:p>
    <w:p w:rsidR="00AC66F1" w:rsidP="00181ABF" w:rsidRDefault="00AC66F1" w14:paraId="0586BE6D" w14:textId="5A7D7856">
      <w:pPr>
        <w:pStyle w:val="Texto"/>
        <w:spacing w:before="0" w:after="0" w:line="240" w:lineRule="auto"/>
        <w:rPr>
          <w:b/>
          <w:bCs/>
          <w:sz w:val="24"/>
          <w:lang w:val="es-CR"/>
        </w:rPr>
      </w:pPr>
    </w:p>
    <w:p w:rsidR="004A05C1" w:rsidP="00181ABF" w:rsidRDefault="004A05C1" w14:paraId="1A7E6DBC" w14:textId="7F448DC0">
      <w:pPr>
        <w:pStyle w:val="Texto"/>
        <w:spacing w:before="0" w:after="0" w:line="240" w:lineRule="auto"/>
        <w:rPr>
          <w:b/>
          <w:bCs/>
          <w:sz w:val="24"/>
          <w:lang w:val="es-CR"/>
        </w:rPr>
      </w:pPr>
    </w:p>
    <w:p w:rsidR="004A05C1" w:rsidP="00181ABF" w:rsidRDefault="004A05C1" w14:paraId="03FEF165" w14:textId="667F5FDE">
      <w:pPr>
        <w:pStyle w:val="Texto"/>
        <w:spacing w:before="0" w:after="0" w:line="240" w:lineRule="auto"/>
        <w:rPr>
          <w:b/>
          <w:bCs/>
          <w:sz w:val="24"/>
          <w:lang w:val="es-CR"/>
        </w:rPr>
      </w:pPr>
    </w:p>
    <w:p w:rsidRPr="0090614E" w:rsidR="00133EF2" w:rsidP="00181ABF" w:rsidRDefault="0090614E" w14:paraId="62A5998A" w14:textId="07D806BA">
      <w:pPr>
        <w:pStyle w:val="Texto"/>
        <w:spacing w:before="0" w:after="0" w:line="240" w:lineRule="auto"/>
        <w:rPr>
          <w:b/>
          <w:bCs/>
          <w:sz w:val="24"/>
          <w:lang w:val="es-CR"/>
        </w:rPr>
      </w:pPr>
      <w:r w:rsidRPr="0090614E">
        <w:rPr>
          <w:b/>
          <w:bCs/>
          <w:sz w:val="24"/>
          <w:lang w:val="es-CR"/>
        </w:rPr>
        <w:t>Dispone:</w:t>
      </w:r>
    </w:p>
    <w:p w:rsidR="00133EF2" w:rsidP="00181ABF" w:rsidRDefault="00133EF2" w14:paraId="4E0B06A1" w14:textId="1D441F8F">
      <w:pPr>
        <w:pStyle w:val="Texto"/>
        <w:spacing w:before="0" w:after="0" w:line="240" w:lineRule="auto"/>
        <w:rPr>
          <w:sz w:val="24"/>
          <w:lang w:val="es-CR"/>
        </w:rPr>
      </w:pPr>
    </w:p>
    <w:p w:rsidR="00AC66F1" w:rsidP="00181ABF" w:rsidRDefault="00AC66F1" w14:paraId="597B811F" w14:textId="77777777">
      <w:pPr>
        <w:pStyle w:val="Texto"/>
        <w:spacing w:before="0" w:after="0" w:line="240" w:lineRule="auto"/>
        <w:rPr>
          <w:sz w:val="24"/>
          <w:lang w:val="es-CR"/>
        </w:rPr>
      </w:pPr>
    </w:p>
    <w:p w:rsidRPr="00B1515D" w:rsidR="00B1515D" w:rsidP="00B1515D" w:rsidRDefault="0090614E" w14:paraId="69CF41E8" w14:textId="72064455">
      <w:pPr>
        <w:pStyle w:val="Prrafodelista"/>
        <w:numPr>
          <w:ilvl w:val="0"/>
          <w:numId w:val="8"/>
        </w:numPr>
        <w:spacing w:line="240" w:lineRule="auto"/>
        <w:rPr>
          <w:b/>
          <w:bCs/>
          <w:sz w:val="24"/>
        </w:rPr>
      </w:pPr>
      <w:r w:rsidRPr="0090614E">
        <w:rPr>
          <w:b/>
          <w:bCs/>
          <w:sz w:val="24"/>
        </w:rPr>
        <w:t xml:space="preserve">Respecto al artículo 31 “Dependencia en terceros” del Acuerdo CONASSIF 12-21, aclarar </w:t>
      </w:r>
      <w:r w:rsidR="00195ECD">
        <w:rPr>
          <w:b/>
          <w:bCs/>
          <w:sz w:val="24"/>
        </w:rPr>
        <w:t>que</w:t>
      </w:r>
      <w:r w:rsidRPr="0090614E">
        <w:rPr>
          <w:b/>
          <w:bCs/>
          <w:sz w:val="24"/>
        </w:rPr>
        <w:t>:</w:t>
      </w:r>
    </w:p>
    <w:p w:rsidR="00B1515D" w:rsidP="00B1515D" w:rsidRDefault="00B1515D" w14:paraId="28B5D99B" w14:textId="2DB638A4">
      <w:pPr>
        <w:spacing w:line="240" w:lineRule="auto"/>
        <w:rPr>
          <w:sz w:val="24"/>
        </w:rPr>
      </w:pPr>
    </w:p>
    <w:p w:rsidRPr="00B1515D" w:rsidR="00794FA2" w:rsidP="00B1515D" w:rsidRDefault="00794FA2" w14:paraId="42A7AF50" w14:textId="77777777">
      <w:pPr>
        <w:spacing w:line="240" w:lineRule="auto"/>
        <w:rPr>
          <w:sz w:val="24"/>
        </w:rPr>
      </w:pPr>
    </w:p>
    <w:p w:rsidR="009F3359" w:rsidP="00D14DD1" w:rsidRDefault="006B4799" w14:paraId="06F8C0A2" w14:textId="3ADCDF54">
      <w:pPr>
        <w:pStyle w:val="Prrafodelista"/>
        <w:numPr>
          <w:ilvl w:val="0"/>
          <w:numId w:val="10"/>
        </w:numPr>
        <w:spacing w:line="240" w:lineRule="auto"/>
        <w:rPr>
          <w:sz w:val="24"/>
        </w:rPr>
      </w:pPr>
      <w:r>
        <w:rPr>
          <w:sz w:val="24"/>
        </w:rPr>
        <w:t xml:space="preserve">En </w:t>
      </w:r>
      <w:r w:rsidR="00195ECD">
        <w:rPr>
          <w:sz w:val="24"/>
        </w:rPr>
        <w:t>el caso de grupos o conglomerados financi</w:t>
      </w:r>
      <w:r w:rsidR="009F3359">
        <w:rPr>
          <w:sz w:val="24"/>
        </w:rPr>
        <w:t xml:space="preserve">eros en que la </w:t>
      </w:r>
      <w:r w:rsidRPr="009F3359" w:rsidR="009F3359">
        <w:rPr>
          <w:sz w:val="24"/>
        </w:rPr>
        <w:t>identificación del cliente y del beneficiario final y la comprensión de la naturaleza de la actividad comercial</w:t>
      </w:r>
      <w:r w:rsidR="009F3359">
        <w:rPr>
          <w:sz w:val="24"/>
        </w:rPr>
        <w:t xml:space="preserve"> (diligencia </w:t>
      </w:r>
      <w:r w:rsidR="00C3283E">
        <w:rPr>
          <w:sz w:val="24"/>
        </w:rPr>
        <w:t xml:space="preserve">debida </w:t>
      </w:r>
      <w:r w:rsidR="009F3359">
        <w:rPr>
          <w:sz w:val="24"/>
        </w:rPr>
        <w:t xml:space="preserve">del cliente) sea realizada para todo el grupo o conglomerado </w:t>
      </w:r>
      <w:r w:rsidR="00AD30A8">
        <w:rPr>
          <w:sz w:val="24"/>
        </w:rPr>
        <w:t xml:space="preserve">(o para una parte de este) </w:t>
      </w:r>
      <w:r w:rsidR="009F3359">
        <w:rPr>
          <w:sz w:val="24"/>
        </w:rPr>
        <w:t xml:space="preserve">por una entidad financiera supervisada que pertenezca al mismo grupo o conglomerado, según se posibilita en el artículo 31 </w:t>
      </w:r>
      <w:r w:rsidR="00AD30A8">
        <w:rPr>
          <w:sz w:val="24"/>
        </w:rPr>
        <w:t>supra</w:t>
      </w:r>
      <w:r w:rsidR="009F3359">
        <w:rPr>
          <w:sz w:val="24"/>
        </w:rPr>
        <w:t xml:space="preserve"> citado, </w:t>
      </w:r>
      <w:r w:rsidRPr="00D36A7C" w:rsidR="009F3359">
        <w:rPr>
          <w:b/>
          <w:bCs/>
          <w:sz w:val="24"/>
        </w:rPr>
        <w:t>tal diligencia debida sólo p</w:t>
      </w:r>
      <w:r w:rsidRPr="00D36A7C" w:rsidR="00DD1F66">
        <w:rPr>
          <w:b/>
          <w:bCs/>
          <w:sz w:val="24"/>
        </w:rPr>
        <w:t>uede</w:t>
      </w:r>
      <w:r w:rsidRPr="00D36A7C" w:rsidR="009F3359">
        <w:rPr>
          <w:b/>
          <w:bCs/>
          <w:sz w:val="24"/>
        </w:rPr>
        <w:t xml:space="preserve"> ser realizada por una entidad financiera supervisada </w:t>
      </w:r>
      <w:r w:rsidRPr="00D36A7C" w:rsidR="00E54170">
        <w:rPr>
          <w:b/>
          <w:bCs/>
          <w:sz w:val="24"/>
        </w:rPr>
        <w:t xml:space="preserve">y domiciliada </w:t>
      </w:r>
      <w:r w:rsidRPr="00D36A7C" w:rsidR="009F3359">
        <w:rPr>
          <w:b/>
          <w:bCs/>
          <w:sz w:val="24"/>
        </w:rPr>
        <w:t xml:space="preserve">en Costa Rica. Tal diligencia debida no puede ser realizada por alguna entidad domiciliada en el extranjero que forme parte del </w:t>
      </w:r>
      <w:r w:rsidRPr="00D36A7C" w:rsidR="000129C7">
        <w:rPr>
          <w:b/>
          <w:bCs/>
          <w:sz w:val="24"/>
        </w:rPr>
        <w:t xml:space="preserve">mismo </w:t>
      </w:r>
      <w:r w:rsidRPr="00D36A7C" w:rsidR="009F3359">
        <w:rPr>
          <w:b/>
          <w:bCs/>
          <w:sz w:val="24"/>
        </w:rPr>
        <w:t>grupo o conglomerado financiero</w:t>
      </w:r>
      <w:r w:rsidR="009F3359">
        <w:rPr>
          <w:sz w:val="24"/>
        </w:rPr>
        <w:t>.</w:t>
      </w:r>
    </w:p>
    <w:p w:rsidR="000129C7" w:rsidP="000129C7" w:rsidRDefault="000129C7" w14:paraId="17DECE47" w14:textId="77777777">
      <w:pPr>
        <w:pStyle w:val="Prrafodelista"/>
        <w:spacing w:line="240" w:lineRule="auto"/>
        <w:rPr>
          <w:sz w:val="24"/>
        </w:rPr>
      </w:pPr>
    </w:p>
    <w:p w:rsidRPr="00D14DD1" w:rsidR="00D14DD1" w:rsidP="00D14DD1" w:rsidRDefault="006B4799" w14:paraId="6084389B" w14:textId="57FB3614">
      <w:pPr>
        <w:pStyle w:val="Prrafodelista"/>
        <w:numPr>
          <w:ilvl w:val="0"/>
          <w:numId w:val="10"/>
        </w:numPr>
        <w:spacing w:line="240" w:lineRule="auto"/>
        <w:rPr>
          <w:sz w:val="24"/>
        </w:rPr>
      </w:pPr>
      <w:r>
        <w:rPr>
          <w:sz w:val="24"/>
        </w:rPr>
        <w:t xml:space="preserve">La diligencia debida en el conocimiento del cliente debe ser realizada conforme lo establecido en la regulación vigente emitida por el CONASSIF. </w:t>
      </w:r>
    </w:p>
    <w:p w:rsidR="0090614E" w:rsidP="0090614E" w:rsidRDefault="0090614E" w14:paraId="3CA4D901" w14:textId="77777777">
      <w:pPr>
        <w:pStyle w:val="Texto"/>
        <w:spacing w:before="0" w:after="0" w:line="240" w:lineRule="auto"/>
        <w:rPr>
          <w:b/>
          <w:bCs/>
          <w:sz w:val="24"/>
        </w:rPr>
      </w:pPr>
    </w:p>
    <w:p w:rsidR="00133EF2" w:rsidP="00181ABF" w:rsidRDefault="0090614E" w14:paraId="3FF0925F" w14:textId="69C3D328">
      <w:pPr>
        <w:pStyle w:val="Texto"/>
        <w:spacing w:before="0" w:after="0" w:line="240" w:lineRule="auto"/>
        <w:rPr>
          <w:sz w:val="24"/>
          <w:lang w:val="es-CR"/>
        </w:rPr>
      </w:pPr>
      <w:r>
        <w:rPr>
          <w:b/>
          <w:bCs/>
          <w:sz w:val="24"/>
        </w:rPr>
        <w:t xml:space="preserve"> </w:t>
      </w:r>
    </w:p>
    <w:p w:rsidRPr="002E2B0A" w:rsidR="00181ABF" w:rsidP="00181ABF" w:rsidRDefault="00181ABF" w14:paraId="100AF0B6" w14:textId="3570B585">
      <w:pPr>
        <w:pStyle w:val="Texto"/>
        <w:spacing w:before="0" w:after="0" w:line="240" w:lineRule="auto"/>
        <w:rPr>
          <w:sz w:val="24"/>
        </w:rPr>
      </w:pPr>
      <w:r w:rsidRPr="002E2B0A">
        <w:rPr>
          <w:sz w:val="24"/>
        </w:rPr>
        <w:t>Atentamente,</w:t>
      </w:r>
    </w:p>
    <w:p w:rsidR="00181ABF" w:rsidP="00181ABF" w:rsidRDefault="00181ABF" w14:paraId="0EC133DD" w14:textId="77777777">
      <w:pPr>
        <w:spacing w:line="240" w:lineRule="auto"/>
        <w:rPr>
          <w:sz w:val="24"/>
        </w:rPr>
      </w:pPr>
    </w:p>
    <w:p w:rsidRPr="002E2B0A" w:rsidR="00181ABF" w:rsidP="00181ABF" w:rsidRDefault="009F3359" w14:paraId="24EF4C2D" w14:textId="3E5D544C">
      <w:pPr>
        <w:spacing w:line="240" w:lineRule="auto"/>
        <w:rPr>
          <w:sz w:val="24"/>
        </w:rPr>
      </w:pPr>
      <w:r>
        <w:rPr>
          <w:noProof/>
          <w:lang w:val="es-CR" w:eastAsia="es-CR"/>
        </w:rPr>
        <w:drawing>
          <wp:anchor distT="0" distB="0" distL="114300" distR="114300" simplePos="0" relativeHeight="251659264" behindDoc="1" locked="0" layoutInCell="1" allowOverlap="1" wp14:editId="1D77AF18" wp14:anchorId="0937DBE6">
            <wp:simplePos x="0" y="0"/>
            <wp:positionH relativeFrom="margin">
              <wp:align>left</wp:align>
            </wp:positionH>
            <wp:positionV relativeFrom="paragraph">
              <wp:posOffset>10160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181ABF" w:rsidP="00181ABF" w:rsidRDefault="00181ABF" w14:paraId="3490B759" w14:textId="77777777">
      <w:pPr>
        <w:pStyle w:val="Negrita"/>
        <w:spacing w:line="240" w:lineRule="auto"/>
        <w:jc w:val="left"/>
        <w:rPr>
          <w:b w:val="0"/>
          <w:sz w:val="24"/>
        </w:rPr>
      </w:pPr>
    </w:p>
    <w:p w:rsidR="009F3359" w:rsidP="00181ABF" w:rsidRDefault="009F3359" w14:paraId="6D16FFF4" w14:textId="77777777">
      <w:pPr>
        <w:pStyle w:val="Negrita"/>
        <w:spacing w:line="240" w:lineRule="auto"/>
        <w:jc w:val="left"/>
        <w:rPr>
          <w:b w:val="0"/>
          <w:sz w:val="24"/>
        </w:rPr>
      </w:pPr>
    </w:p>
    <w:p w:rsidRPr="002733E1" w:rsidR="00181ABF" w:rsidP="00181ABF" w:rsidRDefault="00181ABF" w14:paraId="2ED6AD58" w14:textId="1384EA23">
      <w:pPr>
        <w:pStyle w:val="Negrita"/>
        <w:spacing w:line="240" w:lineRule="auto"/>
        <w:jc w:val="left"/>
        <w:rPr>
          <w:b w:val="0"/>
          <w:sz w:val="24"/>
        </w:rPr>
      </w:pPr>
      <w:r w:rsidRPr="002733E1">
        <w:rPr>
          <w:b w:val="0"/>
          <w:sz w:val="24"/>
        </w:rPr>
        <w:t>José Armando Fallas Martínez</w:t>
      </w:r>
    </w:p>
    <w:p w:rsidR="00181ABF" w:rsidP="00181ABF" w:rsidRDefault="00181ABF" w14:paraId="7CC4E4E7" w14:textId="5861FBDC">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28253C" w:rsidP="00181ABF" w:rsidRDefault="0028253C" w14:paraId="288E6D40" w14:textId="77777777">
      <w:pPr>
        <w:pStyle w:val="Negrita"/>
        <w:spacing w:line="240" w:lineRule="auto"/>
        <w:jc w:val="left"/>
        <w:rPr>
          <w:noProof/>
          <w:lang w:val="es-CR" w:eastAsia="es-CR"/>
        </w:rPr>
      </w:pPr>
    </w:p>
    <w:p w:rsidR="0028253C" w:rsidP="00181ABF" w:rsidRDefault="0028253C" w14:paraId="73D724F4" w14:textId="77777777">
      <w:pPr>
        <w:pStyle w:val="Negrita"/>
        <w:spacing w:line="240" w:lineRule="auto"/>
        <w:jc w:val="left"/>
        <w:rPr>
          <w:noProof/>
          <w:lang w:val="es-CR" w:eastAsia="es-CR"/>
        </w:rPr>
      </w:pPr>
    </w:p>
    <w:p w:rsidR="00181ABF" w:rsidP="00181ABF" w:rsidRDefault="00181ABF" w14:paraId="1FB1A42C" w14:textId="27493404">
      <w:pPr>
        <w:pStyle w:val="Negrita"/>
        <w:spacing w:line="240" w:lineRule="auto"/>
      </w:pPr>
    </w:p>
    <w:p w:rsidRPr="009F3359" w:rsidR="00E42AAC" w:rsidRDefault="006B4799" w14:paraId="05CC49CC" w14:textId="37C43FB3">
      <w:pPr>
        <w:rPr>
          <w:sz w:val="16"/>
          <w:szCs w:val="16"/>
        </w:rPr>
      </w:pPr>
      <w:r w:rsidRPr="009F3359">
        <w:rPr>
          <w:sz w:val="16"/>
          <w:szCs w:val="16"/>
        </w:rPr>
        <w:t>RAM/RCA/JMM</w:t>
      </w:r>
    </w:p>
    <w:sectPr w:rsidRPr="009F3359" w:rsidR="00E42AAC">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1493" w14:textId="77777777" w:rsidR="009E5F55" w:rsidRDefault="009E5F55" w:rsidP="00181ABF">
      <w:pPr>
        <w:spacing w:line="240" w:lineRule="auto"/>
      </w:pPr>
      <w:r>
        <w:separator/>
      </w:r>
    </w:p>
  </w:endnote>
  <w:endnote w:type="continuationSeparator" w:id="0">
    <w:p w14:paraId="6109180F" w14:textId="77777777" w:rsidR="009E5F55" w:rsidRDefault="009E5F5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C78" w:rsidRDefault="00393C78" w14:paraId="3407D413"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C031CA" w:rsidTr="00C031CA" w14:paraId="36966DCC" w14:textId="77777777">
      <w:tc>
        <w:tcPr>
          <w:tcW w:w="7388" w:type="dxa"/>
        </w:tcPr>
        <w:bookmarkStart w:name="_Hlk138176356" w:id="0"/>
        <w:p w:rsidR="00C031CA" w:rsidP="00C031CA" w:rsidRDefault="00C031CA" w14:paraId="217CD9CE"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050EF38F" wp14:anchorId="6CA15A37">
                    <wp:simplePos x="0" y="0"/>
                    <wp:positionH relativeFrom="page">
                      <wp:posOffset>0</wp:posOffset>
                    </wp:positionH>
                    <wp:positionV relativeFrom="page">
                      <wp:posOffset>9594215</wp:posOffset>
                    </wp:positionV>
                    <wp:extent cx="7772400" cy="273050"/>
                    <wp:effectExtent l="0" t="0" r="0" b="12700"/>
                    <wp:wrapNone/>
                    <wp:docPr id="5" name="MSIPCMc8f64a0fa98fe63a874d0aa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031CA" w:rsidR="00C031CA" w:rsidP="00C031CA" w:rsidRDefault="00C031CA" w14:paraId="5A43BDA4" w14:textId="77777777">
                                <w:pPr>
                                  <w:jc w:val="center"/>
                                  <w:rPr>
                                    <w:rFonts w:ascii="Calibri" w:hAnsi="Calibri" w:cs="Calibri"/>
                                    <w:color w:val="000000"/>
                                    <w:sz w:val="20"/>
                                  </w:rPr>
                                </w:pPr>
                                <w:r w:rsidRPr="00C031C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CA15A37">
                    <v:stroke joinstyle="miter"/>
                    <v:path gradientshapeok="t" o:connecttype="rect"/>
                  </v:shapetype>
                  <v:shape id="MSIPCMc8f64a0fa98fe63a874d0aa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C031CA" w:rsidR="00C031CA" w:rsidP="00C031CA" w:rsidRDefault="00C031CA" w14:paraId="5A43BDA4" w14:textId="77777777">
                          <w:pPr>
                            <w:jc w:val="center"/>
                            <w:rPr>
                              <w:rFonts w:ascii="Calibri" w:hAnsi="Calibri" w:cs="Calibri"/>
                              <w:color w:val="000000"/>
                              <w:sz w:val="20"/>
                            </w:rPr>
                          </w:pPr>
                          <w:r w:rsidRPr="00C031CA">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0"/>
        <w:p w:rsidRPr="009349F3" w:rsidR="00C031CA" w:rsidP="00181ABF" w:rsidRDefault="00C031CA" w14:paraId="4DBC8356" w14:textId="77777777">
          <w:pPr>
            <w:pStyle w:val="Piedepgina"/>
            <w:rPr>
              <w:b/>
              <w:color w:val="7F7F7F" w:themeColor="text1" w:themeTint="80"/>
              <w:sz w:val="16"/>
              <w:szCs w:val="16"/>
            </w:rPr>
          </w:pPr>
        </w:p>
      </w:tc>
      <w:tc>
        <w:tcPr>
          <w:tcW w:w="1440" w:type="dxa"/>
        </w:tcPr>
        <w:p w:rsidRPr="009349F3" w:rsidR="00C031CA" w:rsidP="00181ABF" w:rsidRDefault="00C031CA" w14:paraId="5407495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C031CA" w14:paraId="43FEEBFF" w14:textId="77777777">
    <w:pPr>
      <w:pStyle w:val="Piedepgina"/>
    </w:pPr>
    <w:r>
      <w:rPr>
        <w:noProof/>
      </w:rPr>
      <w:drawing>
        <wp:anchor distT="0" distB="0" distL="114300" distR="114300" simplePos="0" relativeHeight="251659264" behindDoc="1" locked="0" layoutInCell="1" allowOverlap="1" wp14:editId="565371DB" wp14:anchorId="29A266EE">
          <wp:simplePos x="0" y="0"/>
          <wp:positionH relativeFrom="page">
            <wp:posOffset>5756910</wp:posOffset>
          </wp:positionH>
          <wp:positionV relativeFrom="paragraph">
            <wp:posOffset>-295275</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C78" w:rsidRDefault="00393C78" w14:paraId="5EBB6B7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E764" w14:textId="77777777" w:rsidR="009E5F55" w:rsidRDefault="009E5F55" w:rsidP="00181ABF">
      <w:pPr>
        <w:spacing w:line="240" w:lineRule="auto"/>
      </w:pPr>
      <w:r>
        <w:separator/>
      </w:r>
    </w:p>
  </w:footnote>
  <w:footnote w:type="continuationSeparator" w:id="0">
    <w:p w14:paraId="42456366" w14:textId="77777777" w:rsidR="009E5F55" w:rsidRDefault="009E5F5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C78" w:rsidRDefault="00393C78" w14:paraId="14D4588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6E170356" w14:textId="77777777">
    <w:pPr>
      <w:pStyle w:val="Encabezado"/>
    </w:pPr>
  </w:p>
  <w:p w:rsidR="00181ABF" w:rsidP="00C031CA" w:rsidRDefault="00181ABF" w14:paraId="03E7DE33" w14:textId="77777777">
    <w:pPr>
      <w:pStyle w:val="Encabezado"/>
      <w:jc w:val="left"/>
    </w:pPr>
    <w:r>
      <w:rPr>
        <w:noProof/>
        <w:lang w:val="es-CR" w:eastAsia="es-CR"/>
      </w:rPr>
      <w:drawing>
        <wp:inline distT="0" distB="0" distL="0" distR="0" wp14:anchorId="64D0B2F7" wp14:editId="356E899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C78" w:rsidRDefault="00393C78" w14:paraId="11D889D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7263"/>
    <w:multiLevelType w:val="hybridMultilevel"/>
    <w:tmpl w:val="3A96F19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F9504B0"/>
    <w:multiLevelType w:val="hybridMultilevel"/>
    <w:tmpl w:val="AA342084"/>
    <w:lvl w:ilvl="0" w:tplc="B97C6828">
      <w:start w:val="1"/>
      <w:numFmt w:val="decimal"/>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F7F023E"/>
    <w:multiLevelType w:val="hybridMultilevel"/>
    <w:tmpl w:val="5D167DFE"/>
    <w:lvl w:ilvl="0" w:tplc="0B121C9E">
      <w:start w:val="1"/>
      <w:numFmt w:val="decimal"/>
      <w:lvlText w:val="%1."/>
      <w:lvlJc w:val="left"/>
      <w:pPr>
        <w:ind w:left="360" w:hanging="360"/>
      </w:pPr>
      <w:rPr>
        <w:rFonts w:hint="default"/>
        <w:b w:val="0"/>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60ED2FBF"/>
    <w:multiLevelType w:val="hybridMultilevel"/>
    <w:tmpl w:val="FB102A1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A025F82"/>
    <w:multiLevelType w:val="hybridMultilevel"/>
    <w:tmpl w:val="BCD262C6"/>
    <w:lvl w:ilvl="0" w:tplc="B7E6A4C0">
      <w:start w:val="1"/>
      <w:numFmt w:val="decimal"/>
      <w:lvlText w:val="%1."/>
      <w:lvlJc w:val="left"/>
      <w:pPr>
        <w:ind w:left="720"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16cid:durableId="1507091341">
    <w:abstractNumId w:val="2"/>
  </w:num>
  <w:num w:numId="2" w16cid:durableId="1413965836">
    <w:abstractNumId w:val="5"/>
  </w:num>
  <w:num w:numId="3" w16cid:durableId="964120450">
    <w:abstractNumId w:val="1"/>
  </w:num>
  <w:num w:numId="4" w16cid:durableId="467360520">
    <w:abstractNumId w:val="6"/>
  </w:num>
  <w:num w:numId="5" w16cid:durableId="129633989">
    <w:abstractNumId w:val="4"/>
  </w:num>
  <w:num w:numId="6" w16cid:durableId="828862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3309480">
    <w:abstractNumId w:val="1"/>
  </w:num>
  <w:num w:numId="8" w16cid:durableId="144126210">
    <w:abstractNumId w:val="3"/>
  </w:num>
  <w:num w:numId="9" w16cid:durableId="64189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934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55"/>
    <w:rsid w:val="000129C7"/>
    <w:rsid w:val="000202E3"/>
    <w:rsid w:val="000D1005"/>
    <w:rsid w:val="00133EF2"/>
    <w:rsid w:val="00162AC5"/>
    <w:rsid w:val="00181ABF"/>
    <w:rsid w:val="00195ECD"/>
    <w:rsid w:val="0028253C"/>
    <w:rsid w:val="003172BE"/>
    <w:rsid w:val="00393C78"/>
    <w:rsid w:val="004A05C1"/>
    <w:rsid w:val="00554899"/>
    <w:rsid w:val="00576109"/>
    <w:rsid w:val="00585D38"/>
    <w:rsid w:val="00596C67"/>
    <w:rsid w:val="00655A36"/>
    <w:rsid w:val="006B4799"/>
    <w:rsid w:val="00794FA2"/>
    <w:rsid w:val="007F334C"/>
    <w:rsid w:val="007F7CF2"/>
    <w:rsid w:val="0090614E"/>
    <w:rsid w:val="00937EF0"/>
    <w:rsid w:val="009E5F55"/>
    <w:rsid w:val="009F3359"/>
    <w:rsid w:val="00A175EC"/>
    <w:rsid w:val="00AC66F1"/>
    <w:rsid w:val="00AD30A8"/>
    <w:rsid w:val="00B1515D"/>
    <w:rsid w:val="00C031CA"/>
    <w:rsid w:val="00C3283E"/>
    <w:rsid w:val="00C64E79"/>
    <w:rsid w:val="00D14DD1"/>
    <w:rsid w:val="00D2422E"/>
    <w:rsid w:val="00D36A7C"/>
    <w:rsid w:val="00D90222"/>
    <w:rsid w:val="00DD1F66"/>
    <w:rsid w:val="00E42AAC"/>
    <w:rsid w:val="00E54170"/>
    <w:rsid w:val="00ED76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A7BF"/>
  <w15:chartTrackingRefBased/>
  <w15:docId w15:val="{DDB35574-BF67-499E-A3DD-6A63F32F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paragraph" w:styleId="Prrafodelista">
    <w:name w:val="List Paragraph"/>
    <w:basedOn w:val="Normal"/>
    <w:uiPriority w:val="34"/>
    <w:qFormat/>
    <w:rsid w:val="0090614E"/>
    <w:pPr>
      <w:ind w:left="720"/>
      <w:contextualSpacing/>
    </w:pPr>
  </w:style>
  <w:style w:type="paragraph" w:customStyle="1" w:styleId="Default">
    <w:name w:val="Default"/>
    <w:rsid w:val="00585D38"/>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44">
      <w:bodyDiv w:val="1"/>
      <w:marLeft w:val="0"/>
      <w:marRight w:val="0"/>
      <w:marTop w:val="0"/>
      <w:marBottom w:val="0"/>
      <w:divBdr>
        <w:top w:val="none" w:sz="0" w:space="0" w:color="auto"/>
        <w:left w:val="none" w:sz="0" w:space="0" w:color="auto"/>
        <w:bottom w:val="none" w:sz="0" w:space="0" w:color="auto"/>
        <w:right w:val="none" w:sz="0" w:space="0" w:color="auto"/>
      </w:divBdr>
    </w:div>
    <w:div w:id="930092462">
      <w:bodyDiv w:val="1"/>
      <w:marLeft w:val="0"/>
      <w:marRight w:val="0"/>
      <w:marTop w:val="0"/>
      <w:marBottom w:val="0"/>
      <w:divBdr>
        <w:top w:val="none" w:sz="0" w:space="0" w:color="auto"/>
        <w:left w:val="none" w:sz="0" w:space="0" w:color="auto"/>
        <w:bottom w:val="none" w:sz="0" w:space="0" w:color="auto"/>
        <w:right w:val="none" w:sz="0" w:space="0" w:color="auto"/>
      </w:divBdr>
    </w:div>
    <w:div w:id="20222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15CC6A9794DF7842AF67C5A2A2FD5"/>
        <w:category>
          <w:name w:val="General"/>
          <w:gallery w:val="placeholder"/>
        </w:category>
        <w:types>
          <w:type w:val="bbPlcHdr"/>
        </w:types>
        <w:behaviors>
          <w:behavior w:val="content"/>
        </w:behaviors>
        <w:guid w:val="{73E10150-88A8-423C-B143-6F266F1B0896}"/>
      </w:docPartPr>
      <w:docPartBody>
        <w:p w:rsidR="00FF3B79" w:rsidRDefault="00FF3B79">
          <w:pPr>
            <w:pStyle w:val="DAD15CC6A9794DF7842AF67C5A2A2FD5"/>
          </w:pPr>
          <w:r w:rsidRPr="001E0779">
            <w:rPr>
              <w:rStyle w:val="Textodelmarcadordeposicin"/>
            </w:rPr>
            <w:t>Haga clic aquí para escribir texto.</w:t>
          </w:r>
        </w:p>
      </w:docPartBody>
    </w:docPart>
    <w:docPart>
      <w:docPartPr>
        <w:name w:val="04BA266AAF154C598E8F056837B0F18D"/>
        <w:category>
          <w:name w:val="General"/>
          <w:gallery w:val="placeholder"/>
        </w:category>
        <w:types>
          <w:type w:val="bbPlcHdr"/>
        </w:types>
        <w:behaviors>
          <w:behavior w:val="content"/>
        </w:behaviors>
        <w:guid w:val="{98B8BE93-0624-41AB-9D23-820A269BF075}"/>
      </w:docPartPr>
      <w:docPartBody>
        <w:p w:rsidR="00FF3B79" w:rsidRDefault="00FF3B79">
          <w:pPr>
            <w:pStyle w:val="04BA266AAF154C598E8F056837B0F18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79"/>
    <w:rsid w:val="00FF3B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AD15CC6A9794DF7842AF67C5A2A2FD5">
    <w:name w:val="DAD15CC6A9794DF7842AF67C5A2A2FD5"/>
  </w:style>
  <w:style w:type="paragraph" w:customStyle="1" w:styleId="04BA266AAF154C598E8F056837B0F18D">
    <w:name w:val="04BA266AAF154C598E8F056837B0F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+ljCQFKvOZQCFFUGKCB2knqXC2HWTOhD4DrfN38YBk0=</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YSpLZgW57mZtukpcUhg4ephtsgauAxHCwYrPfNFqJ1Q=</DigestValue>
    </Reference>
  </SignedInfo>
  <SignatureValue>To8G+iaaPgMJDeHdPy2trlfMsy4pcan7hxg8+66Jo+L1uxKXlmn8mAIrJ1v9iwuYD9Us4YanNYOU
dAUIeSp7M1GzPeb26olH7lbqSHNfmnj/Py6VG0FAkRnKRjI9bP+3FipK59MQ6XwXxEFpLD2iZ8FA
nEf2ykuq56syVcx3g8QUBz7l+0PTDiCJhziogcVI7dlD5LTaaG8O1SB9YAbnhbWPC2CS/kWiMDKF
k974C5BgPSVJvx12X60mAjIGOrmBTxM9YqNaZhkjX1DF/KJ4wWvwaz0r8kXPALqxtXIGb/mAP3Oq
kIhEwHnvxb+tVhDguQ18o06DMfTVFfPK0P4MYw==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W6wESlsWD4FQQV448X1JWKZrK+C0TDkY58MfU2vBm0Y=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UytiF3i3doAmSrGQ58FxB+syS36TZNIr0Y/G86YYIYA=</DigestValue>
      </Reference>
      <Reference URI="/word/endnotes.xml?ContentType=application/vnd.openxmlformats-officedocument.wordprocessingml.endnotes+xml">
        <DigestMethod Algorithm="http://www.w3.org/2001/04/xmlenc#sha256"/>
        <DigestValue>YM1Q382BpP/uHH2YKKhvaF1EltEsLKzcUHfoiZJPLGc=</DigestValue>
      </Reference>
      <Reference URI="/word/fontTable.xml?ContentType=application/vnd.openxmlformats-officedocument.wordprocessingml.fontTable+xml">
        <DigestMethod Algorithm="http://www.w3.org/2001/04/xmlenc#sha256"/>
        <DigestValue>DdeLIrj/70UXyKhHi9Y6DMGQs9rtPSwvB0z8JH68SWw=</DigestValue>
      </Reference>
      <Reference URI="/word/footer1.xml?ContentType=application/vnd.openxmlformats-officedocument.wordprocessingml.footer+xml">
        <DigestMethod Algorithm="http://www.w3.org/2001/04/xmlenc#sha256"/>
        <DigestValue>YH4RUv/dwMgWwRRdXduEqt/6KjkJz++dOqwayQzgpRI=</DigestValue>
      </Reference>
      <Reference URI="/word/footer2.xml?ContentType=application/vnd.openxmlformats-officedocument.wordprocessingml.footer+xml">
        <DigestMethod Algorithm="http://www.w3.org/2001/04/xmlenc#sha256"/>
        <DigestValue>j9mNAGktkmvgpQFCvHmh/KWrPbsaBe8Qb68wVhvHxv4=</DigestValue>
      </Reference>
      <Reference URI="/word/footer3.xml?ContentType=application/vnd.openxmlformats-officedocument.wordprocessingml.footer+xml">
        <DigestMethod Algorithm="http://www.w3.org/2001/04/xmlenc#sha256"/>
        <DigestValue>Ic++qS68XimwFNx/vWwHgnA/BAn/QsHLKj81cqwpNcg=</DigestValue>
      </Reference>
      <Reference URI="/word/footnotes.xml?ContentType=application/vnd.openxmlformats-officedocument.wordprocessingml.footnotes+xml">
        <DigestMethod Algorithm="http://www.w3.org/2001/04/xmlenc#sha256"/>
        <DigestValue>shWfeWKqH34RDXBxj4EwtoF3We4Qdh/EIDsR9OODurc=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cFCvOTa1Lnyp/upeIkSv/TRb6CbiJwG9j8a3IgRMte4=</DigestValue>
      </Reference>
      <Reference URI="/word/glossary/fontTable.xml?ContentType=application/vnd.openxmlformats-officedocument.wordprocessingml.fontTable+xml">
        <DigestMethod Algorithm="http://www.w3.org/2001/04/xmlenc#sha256"/>
        <DigestValue>DdeLIrj/70UXyKhHi9Y6DMGQs9rtPSwvB0z8JH68SWw=</DigestValue>
      </Reference>
      <Reference URI="/word/glossary/settings.xml?ContentType=application/vnd.openxmlformats-officedocument.wordprocessingml.settings+xml">
        <DigestMethod Algorithm="http://www.w3.org/2001/04/xmlenc#sha256"/>
        <DigestValue>iqNJX18GrGftsv9gJeoTXZtmvMgGLM1k85VJGAKBnnE=</DigestValue>
      </Reference>
      <Reference URI="/word/glossary/styles.xml?ContentType=application/vnd.openxmlformats-officedocument.wordprocessingml.styles+xml">
        <DigestMethod Algorithm="http://www.w3.org/2001/04/xmlenc#sha256"/>
        <DigestValue>vceLLssZBGMEcETMogE304inX7z8UTTKx6QvQNoMcMg=</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R65e4pYuIZEShKHHMBy1n8QpPQwUkfo+jJ6Yj9To2mA=</DigestValue>
      </Reference>
      <Reference URI="/word/header2.xml?ContentType=application/vnd.openxmlformats-officedocument.wordprocessingml.header+xml">
        <DigestMethod Algorithm="http://www.w3.org/2001/04/xmlenc#sha256"/>
        <DigestValue>crPdAVqOtyowJCVFoFs9OnW7qxQgKxAv8hr3tzePDK0=</DigestValue>
      </Reference>
      <Reference URI="/word/header3.xml?ContentType=application/vnd.openxmlformats-officedocument.wordprocessingml.header+xml">
        <DigestMethod Algorithm="http://www.w3.org/2001/04/xmlenc#sha256"/>
        <DigestValue>EJi50uUzksUJ3TC+I27GVQB7ZRadLGHOf4ByRaRZNrs=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qLayJDLQmVOMBd/rd1bKL8EYjwNhVWLEfCqZhkWFseo=</DigestValue>
      </Reference>
      <Reference URI="/word/settings.xml?ContentType=application/vnd.openxmlformats-officedocument.wordprocessingml.settings+xml">
        <DigestMethod Algorithm="http://www.w3.org/2001/04/xmlenc#sha256"/>
        <DigestValue>CeJKsUpJjyOye3c6vOHPTwtatmCo3cYDV/vQVVPsmp0=</DigestValue>
      </Reference>
      <Reference URI="/word/styles.xml?ContentType=application/vnd.openxmlformats-officedocument.wordprocessingml.styles+xml">
        <DigestMethod Algorithm="http://www.w3.org/2001/04/xmlenc#sha256"/>
        <DigestValue>wZO2nvbZlWSL3BUETmulKBJUw9ui1ZMXMaqRp1Wu/+I=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jMaco78jm7PnY7y6DZqtiHqz/uy51h+DbSQxPRca67Q=</DigestValue>
      </Reference>
    </Manifest>
    <SignatureProperties>
      <SignatureProperty Id="idSignatureTime" Target="#idPackageSignature">
        <mdssi:SignatureTime xmlns:mdssi="http://schemas.openxmlformats.org/package/2006/digital-signature">
          <mdssi:Format>YYYY-MM-DDThh:mm:ssTZD</mdssi:Format>
          <mdssi:Value>2023-07-21T19:46:21Z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2023-07-21T19:46:21Z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Db+w86Pe+BY8efvi0P3RCmIX4BpGXLGh0RZK34w5zQCBBVqNSIYDzIwMjMwNzIxMTk0Nj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buElVmR7ntNdHQuA1+yoMKp26JM=</xd:ByKey>
                  </xd:ResponderID>
                  <xd:ProducedAt>2023-07-21T18:03:48Z</xd:ProducedAt>
                </xd:OCSPIdentifier>
                <xd:DigestAlgAndValue>
                  <DigestMethod Algorithm="http://www.w3.org/2001/04/xmlenc#sha256"/>
                  <DigestValue>daGlB2J8Xvpx/XZGNkKbVG8bE7bhXAXc7KtAQQf5Xnw=</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2vjDpQG8wnTjOLpvPELZAzHMCzeUfK/dZVFBieCSP0CBBVqNSMYDzIwMjMwNzIxMTk0Nj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i:0#.w|pdc-atlantida\moralesmj</DisplayName>
        <AccountId>1797</AccountId>
        <AccountType/>
      </UserInfo>
      <UserInfo>
        <DisplayName>i:0#.w|pdc-atlantida\lopezsm</DisplayName>
        <AccountId>1743</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2023-07-21T20:25:59+00:00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2023-07-14T06:00:00+00:00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Subject1>
    <_dlc_ExpireDateSaved xmlns="http://schemas.microsoft.com/sharepoint/v3" xsi:nil="true"/>
    <_dlc_ExpireDate xmlns="http://schemas.microsoft.com/sharepoint/v3">2023-08-04T20:25:59+00:00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0" ma:contentTypeDescription="Crear nuevo documento." ma:contentTypeScope="" ma:versionID="4bfc77c663f8d1c81fdd0f568c9d913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3FFEE3EE-292C-4AB0-AC1D-326384F8FBF9}"/>
</file>

<file path=customXml/itemProps2.xml><?xml version="1.0" encoding="utf-8"?>
<ds:datastoreItem xmlns:ds="http://schemas.openxmlformats.org/officeDocument/2006/customXml" ds:itemID="{46419E72-3BAF-4C81-AA44-BCF8424466BF}"/>
</file>

<file path=customXml/itemProps3.xml><?xml version="1.0" encoding="utf-8"?>
<ds:datastoreItem xmlns:ds="http://schemas.openxmlformats.org/officeDocument/2006/customXml" ds:itemID="{BC5625E0-5010-43DA-B1D6-B5A06BF758B1}"/>
</file>

<file path=customXml/itemProps4.xml><?xml version="1.0" encoding="utf-8"?>
<ds:datastoreItem xmlns:ds="http://schemas.openxmlformats.org/officeDocument/2006/customXml" ds:itemID="{AFF15AEC-77FF-4061-9321-BBC5A3E9CA46}"/>
</file>

<file path=customXml/itemProps5.xml><?xml version="1.0" encoding="utf-8"?>
<ds:datastoreItem xmlns:ds="http://schemas.openxmlformats.org/officeDocument/2006/customXml" ds:itemID="{A7553711-F5D7-46EC-9A95-1D73EC58B486}"/>
</file>

<file path=customXml/itemProps6.xml><?xml version="1.0" encoding="utf-8"?>
<ds:datastoreItem xmlns:ds="http://schemas.openxmlformats.org/officeDocument/2006/customXml" ds:itemID="{2D021E35-EC97-4891-BA41-F448CD09081C}"/>
</file>

<file path=docProps/app.xml><?xml version="1.0" encoding="utf-8"?>
<Properties xmlns="http://schemas.openxmlformats.org/officeDocument/2006/extended-properties" xmlns:vt="http://schemas.openxmlformats.org/officeDocument/2006/docPropsVTypes">
  <Template>plantilla-SGF-ACL-CEF-22</Template>
  <TotalTime>93</TotalTime>
  <Pages>3</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PIEDRA SOLANO YENDRY CRISTINA</cp:lastModifiedBy>
  <cp:revision>26</cp:revision>
  <dcterms:created xsi:type="dcterms:W3CDTF">2023-07-14T23:59:00Z</dcterms:created>
  <dcterms:modified xsi:type="dcterms:W3CDTF">2023-07-21T18:10:00Z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100900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f1fd9d7f-da86-405a-9476-87cbb240632e,5;769919c7-9da3-41ff-b395-8ac0bca7c92c,8;da120d61-4c5c-4cc1-9d6a-23ff35c21516,9;</vt:lpwstr>
  </property>
  <property fmtid="{D5CDD505-2E9C-101B-9397-08002B2CF9AE}" pid="23" name="ecm_ItemDeleteBlockHolders">
    <vt:lpwstr>ecm_InPlaceRecordLock</vt:lpwstr>
  </property>
  <property fmtid="{D5CDD505-2E9C-101B-9397-08002B2CF9AE}" pid="24" name="_vti_ItemDeclaredRecord">
    <vt:filetime>2023-07-21T20:26:06Z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